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微软雅黑" w:hAnsi="微软雅黑" w:eastAsia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sz w:val="32"/>
          <w:szCs w:val="32"/>
        </w:rPr>
        <w:t>附件1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：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微软雅黑" w:hAnsi="微软雅黑" w:eastAsia="微软雅黑"/>
          <w:sz w:val="44"/>
        </w:rPr>
      </w:pPr>
      <w:r>
        <w:rPr>
          <w:rFonts w:ascii="微软雅黑" w:hAnsi="微软雅黑" w:eastAsia="微软雅黑"/>
          <w:sz w:val="44"/>
        </w:rPr>
        <w:t>江苏省</w:t>
      </w:r>
      <w:bookmarkStart w:id="0" w:name="_Hlk61259619"/>
      <w:r>
        <w:rPr>
          <w:rFonts w:hint="eastAsia" w:ascii="微软雅黑" w:hAnsi="微软雅黑" w:eastAsia="微软雅黑"/>
          <w:sz w:val="44"/>
        </w:rPr>
        <w:t>中小学教育资产监管网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微软雅黑" w:hAnsi="微软雅黑" w:eastAsia="微软雅黑"/>
          <w:sz w:val="44"/>
        </w:rPr>
      </w:pPr>
      <w:r>
        <w:rPr>
          <w:rFonts w:ascii="微软雅黑" w:hAnsi="微软雅黑" w:eastAsia="微软雅黑"/>
          <w:sz w:val="44"/>
        </w:rPr>
        <w:t>上报年报说明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2020年江苏省行政事业单位国有资产年报系统，采用了全省统一云架构（以下简称年报系统）。江苏省</w:t>
      </w:r>
      <w:r>
        <w:rPr>
          <w:rFonts w:hint="eastAsia" w:asciiTheme="minorHAnsi" w:hAnsiTheme="minorHAnsi" w:cstheme="minorBidi"/>
          <w:sz w:val="28"/>
          <w:szCs w:val="28"/>
        </w:rPr>
        <w:t>中小学教育资产监管网</w:t>
      </w:r>
      <w:r>
        <w:rPr>
          <w:rFonts w:asciiTheme="minorHAnsi" w:hAnsiTheme="minorHAnsi" w:cstheme="minorBidi"/>
          <w:sz w:val="28"/>
          <w:szCs w:val="28"/>
        </w:rPr>
        <w:t>（以下简称管理系统）是资产日常管理的业务系统，只为年报系统提供基础数据没有填报上报年报的功能。</w:t>
      </w:r>
    </w:p>
    <w:p>
      <w:pPr>
        <w:pStyle w:val="3"/>
      </w:pPr>
      <w:r>
        <w:t>一、填报流程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填报流程图如下，其中黄色背景是在管理系统中做的操作，蓝色背景是在年报系统中做的操作，白色背景是系统自动完成的。</w:t>
      </w:r>
    </w:p>
    <w:p>
      <w:pPr>
        <w:jc w:val="center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drawing>
          <wp:inline distT="0" distB="0" distL="0" distR="0">
            <wp:extent cx="5347335" cy="3001645"/>
            <wp:effectExtent l="0" t="0" r="571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217" cy="301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当您在管理系统中与财务核对无误完成 2020 年 12 月月结帐后，管理系统会将您的资产基础数据送入年报系统，您就可以在年报系统中通过报表上方的【自动取数】按钮，在年报系统中通过基础数据提取生成年报的相关六张表。然后根据实际情况补填完所需数据，在年报系统中上报贵单位的年报。如果您不需要提取数据，也可以在年报系统全部手工填写。</w:t>
      </w:r>
    </w:p>
    <w:p>
      <w:pPr>
        <w:pStyle w:val="3"/>
      </w:pPr>
      <w:r>
        <w:t>二、注意事项</w:t>
      </w:r>
    </w:p>
    <w:p>
      <w:pPr>
        <w:pStyle w:val="4"/>
      </w:pPr>
      <w:r>
        <w:t>2.1、通过管理系统提取以下六张表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hint="eastAsia" w:asciiTheme="minorHAnsi" w:hAnsiTheme="minorHAnsi" w:cstheme="minorBidi"/>
          <w:sz w:val="28"/>
          <w:szCs w:val="28"/>
        </w:rPr>
        <w:t>财资03-固定和无形资产存量情况表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hint="eastAsia" w:asciiTheme="minorHAnsi" w:hAnsiTheme="minorHAnsi" w:cstheme="minorBidi"/>
          <w:sz w:val="28"/>
          <w:szCs w:val="28"/>
        </w:rPr>
        <w:t>财资04-土地情况表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hint="eastAsia" w:asciiTheme="minorHAnsi" w:hAnsiTheme="minorHAnsi" w:cstheme="minorBidi"/>
          <w:sz w:val="28"/>
          <w:szCs w:val="28"/>
        </w:rPr>
        <w:t>财资05-房屋情况表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hint="eastAsia" w:asciiTheme="minorHAnsi" w:hAnsiTheme="minorHAnsi" w:cstheme="minorBidi"/>
          <w:sz w:val="28"/>
          <w:szCs w:val="28"/>
        </w:rPr>
        <w:t>财资06-车辆情况表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hint="eastAsia" w:asciiTheme="minorHAnsi" w:hAnsiTheme="minorHAnsi" w:cstheme="minorBidi"/>
          <w:sz w:val="28"/>
          <w:szCs w:val="28"/>
        </w:rPr>
        <w:t>财资08-固定和无形资产配置情况表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hint="eastAsia" w:asciiTheme="minorHAnsi" w:hAnsiTheme="minorHAnsi" w:cstheme="minorBidi"/>
          <w:sz w:val="28"/>
          <w:szCs w:val="28"/>
        </w:rPr>
        <w:t>财资11-资产处置情况表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提取的数据为此六张表的</w:t>
      </w:r>
      <w:r>
        <w:rPr>
          <w:rFonts w:asciiTheme="minorHAnsi" w:hAnsiTheme="minorHAnsi" w:cstheme="minorBidi"/>
          <w:b/>
          <w:bCs/>
          <w:sz w:val="28"/>
          <w:szCs w:val="28"/>
        </w:rPr>
        <w:t>期末数</w:t>
      </w:r>
      <w:r>
        <w:rPr>
          <w:rFonts w:asciiTheme="minorHAnsi" w:hAnsiTheme="minorHAnsi" w:cstheme="minorBidi"/>
          <w:sz w:val="28"/>
          <w:szCs w:val="28"/>
        </w:rPr>
        <w:t>，如果是去年上报的单位期初数是去年年报的期末数，如果去年未上报期初数为零。</w:t>
      </w:r>
    </w:p>
    <w:p>
      <w:pPr>
        <w:pStyle w:val="4"/>
      </w:pPr>
      <w:r>
        <w:t>2.2、年报系统初始化时“共创软件单位编码”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在年报系统中初始化时如果选择共创教育软件，系统会问您共创软件单位编码该编码是用于匹配两个系统的单位的。您可以在管理系统的年报上报功能中获得，如下图所示以红色字体标注。</w:t>
      </w:r>
      <w:r>
        <w:rPr>
          <w:rFonts w:hint="eastAsia" w:asciiTheme="minorHAnsi" w:hAnsiTheme="minorHAnsi" w:cstheme="minorBidi"/>
          <w:sz w:val="28"/>
          <w:szCs w:val="28"/>
        </w:rPr>
        <w:t>（若预算代码错误，直接修改，点击确定按钮重新生成共创软件单位编码）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0" distR="0">
            <wp:extent cx="5274310" cy="224599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firstLine="0" w:firstLineChars="0"/>
      </w:pPr>
    </w:p>
    <w:p>
      <w:pPr>
        <w:pStyle w:val="3"/>
      </w:pPr>
      <w:r>
        <w:t>三、年报系统操作说明摘录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本章节摘录自《江苏省行政事业单位国有资产年报操作说明》，如与实际不符合请以实际为准，或咨询年报系统开发服务商（南京智握，客服电话：</w:t>
      </w:r>
      <w:r>
        <w:rPr>
          <w:rFonts w:hint="eastAsia" w:asciiTheme="minorHAnsi" w:hAnsiTheme="minorHAnsi" w:cstheme="minorBidi"/>
          <w:sz w:val="28"/>
          <w:szCs w:val="28"/>
        </w:rPr>
        <w:t>025-83633394、025-83633813、025-83633801、02583633802）</w:t>
      </w:r>
      <w:r>
        <w:rPr>
          <w:rFonts w:asciiTheme="minorHAnsi" w:hAnsiTheme="minorHAnsi" w:cstheme="minorBidi"/>
          <w:sz w:val="28"/>
          <w:szCs w:val="28"/>
        </w:rPr>
        <w:t>。</w:t>
      </w:r>
    </w:p>
    <w:p>
      <w:pPr>
        <w:pStyle w:val="4"/>
      </w:pPr>
      <w:r>
        <w:t>3.1、登录年报系统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年报系统部署在政务云，政务云与公网（互联网、教育网）物理隔绝，只能通过江苏电子政务网或财政专线登录该系统，您可以咨询本校信息中心（可能知道电子政务网）或财务处（可能有财政专网）的同事。原说明书上写的是“联系网络运营商调整网络或者组织到主管局或财政集中填报。”年报系统地址为：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  <w:u w:val="single"/>
        </w:rPr>
      </w:pPr>
      <w:r>
        <w:rPr>
          <w:rFonts w:asciiTheme="minorHAnsi" w:hAnsiTheme="minorHAnsi" w:cstheme="minorBidi"/>
          <w:sz w:val="28"/>
          <w:szCs w:val="28"/>
        </w:rPr>
        <w:t xml:space="preserve"> http://172.24.24.41 (电子政务网)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登录用户名：组织机构代码+@zcnb，如江苏省体育局 014000036@zcnb</w:t>
      </w:r>
      <w:r>
        <w:rPr>
          <w:rFonts w:hint="eastAsia" w:asciiTheme="minorHAnsi" w:hAnsiTheme="minorHAnsi" w:cstheme="minorBidi"/>
          <w:sz w:val="28"/>
          <w:szCs w:val="28"/>
        </w:rPr>
        <w:t>（沿用上一年）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登录密码：</w:t>
      </w:r>
      <w:r>
        <w:rPr>
          <w:rFonts w:hint="eastAsia" w:asciiTheme="minorHAnsi" w:hAnsiTheme="minorHAnsi" w:cstheme="minorBidi"/>
          <w:sz w:val="28"/>
          <w:szCs w:val="28"/>
        </w:rPr>
        <w:t>沿用上一年</w:t>
      </w:r>
      <w:r>
        <w:rPr>
          <w:rFonts w:asciiTheme="minorHAnsi" w:hAnsiTheme="minorHAnsi" w:cstheme="minorBidi"/>
          <w:sz w:val="28"/>
          <w:szCs w:val="28"/>
        </w:rPr>
        <w:t>。（用户名密码均不区分大小写）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推荐使用谷歌浏览器进行访问，同时支持火狐浏览器、360 浏览器（</w:t>
      </w:r>
      <w:r>
        <w:rPr>
          <w:rFonts w:hint="eastAsia" w:asciiTheme="minorHAnsi" w:hAnsiTheme="minorHAnsi" w:cstheme="minorBidi"/>
          <w:sz w:val="28"/>
          <w:szCs w:val="28"/>
        </w:rPr>
        <w:t>兼容</w:t>
      </w:r>
      <w:r>
        <w:rPr>
          <w:rFonts w:asciiTheme="minorHAnsi" w:hAnsiTheme="minorHAnsi" w:cstheme="minorBidi"/>
          <w:sz w:val="28"/>
          <w:szCs w:val="28"/>
        </w:rPr>
        <w:t>模式），不支持 IE 浏览器。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各单位在报表编制和报送过程中如有问题，请及时与</w:t>
      </w:r>
      <w:r>
        <w:rPr>
          <w:rFonts w:hint="eastAsia" w:asciiTheme="minorHAnsi" w:hAnsiTheme="minorHAnsi" w:cstheme="minorBidi"/>
          <w:sz w:val="28"/>
          <w:szCs w:val="28"/>
          <w:lang w:val="en-US" w:eastAsia="zh-CN"/>
        </w:rPr>
        <w:t>区教育局规财科</w:t>
      </w:r>
      <w:r>
        <w:rPr>
          <w:rFonts w:asciiTheme="minorHAnsi" w:hAnsiTheme="minorHAnsi" w:cstheme="minorBidi"/>
          <w:sz w:val="28"/>
          <w:szCs w:val="28"/>
        </w:rPr>
        <w:t xml:space="preserve">联系，联系电话： </w:t>
      </w:r>
      <w:r>
        <w:rPr>
          <w:rFonts w:hint="eastAsia" w:asciiTheme="minorHAnsi" w:hAnsiTheme="minorHAnsi" w:cstheme="minorBidi"/>
          <w:sz w:val="28"/>
          <w:szCs w:val="28"/>
          <w:lang w:val="en-US" w:eastAsia="zh-CN"/>
        </w:rPr>
        <w:t>82881805</w:t>
      </w:r>
      <w:r>
        <w:rPr>
          <w:rFonts w:asciiTheme="minorHAnsi" w:hAnsiTheme="minorHAnsi" w:cstheme="minorBidi"/>
          <w:sz w:val="28"/>
          <w:szCs w:val="28"/>
        </w:rPr>
        <w:t>；资产云系统技术支持：赵鹏、吴 志源，联系电话：15950506026、13605148458、025-83633813、 025-83633394。</w:t>
      </w:r>
    </w:p>
    <w:p>
      <w:pPr>
        <w:pStyle w:val="4"/>
      </w:pPr>
      <w:r>
        <w:t>3.2、单位初始化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年报系统单位初始化请注意：如果需要从管理系统提取数据，请在使用资产系统状态栏选择共创教育软件，填写的单位编码请参见本文 2.2在江苏省</w:t>
      </w:r>
      <w:r>
        <w:rPr>
          <w:rFonts w:hint="eastAsia" w:asciiTheme="minorHAnsi" w:hAnsiTheme="minorHAnsi" w:cstheme="minorBidi"/>
          <w:sz w:val="28"/>
          <w:szCs w:val="28"/>
        </w:rPr>
        <w:t>中小学教育资产监管网中</w:t>
      </w:r>
      <w:r>
        <w:rPr>
          <w:rFonts w:asciiTheme="minorHAnsi" w:hAnsiTheme="minorHAnsi" w:cstheme="minorBidi"/>
          <w:sz w:val="28"/>
          <w:szCs w:val="28"/>
        </w:rPr>
        <w:t>的年报上报功能中查询。</w:t>
      </w:r>
    </w:p>
    <w:p>
      <w:pPr>
        <w:rPr>
          <w:rFonts w:ascii="Times New Roman" w:hAnsi="Times New Roman" w:eastAsia="Times New Roman"/>
        </w:rPr>
      </w:pPr>
      <w:r>
        <w:drawing>
          <wp:inline distT="0" distB="0" distL="0" distR="0">
            <wp:extent cx="5267325" cy="21145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</w:pPr>
      <w:r>
        <w:t>3.3、填报报表</w:t>
      </w:r>
    </w:p>
    <w:p>
      <w:pPr>
        <w:pStyle w:val="12"/>
        <w:ind w:firstLine="56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在相应的表中点击【自动获取】可取管理系统 2020年期末数据。</w:t>
      </w:r>
    </w:p>
    <w:p>
      <w:pPr>
        <w:spacing w:line="0" w:lineRule="atLeast"/>
        <w:rPr>
          <w:rFonts w:hint="eastAsia" w:ascii="宋体" w:hAnsi="宋体" w:eastAsia="宋体"/>
          <w:sz w:val="28"/>
        </w:rPr>
      </w:pPr>
      <w:r>
        <w:object>
          <v:shape id="_x0000_i1025" o:spt="75" type="#_x0000_t75" style="height:525pt;width:517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7">
            <o:LockedField>false</o:LockedField>
          </o:OLEObject>
        </w:object>
      </w:r>
    </w:p>
    <w:p>
      <w:pPr>
        <w:rPr>
          <w:rFonts w:hint="eastAsia"/>
        </w:rPr>
      </w:pPr>
      <w:r>
        <w:drawing>
          <wp:inline distT="0" distB="0" distL="0" distR="0">
            <wp:extent cx="5257800" cy="271462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822"/>
    <w:rsid w:val="00085A84"/>
    <w:rsid w:val="000C1415"/>
    <w:rsid w:val="00172972"/>
    <w:rsid w:val="00203992"/>
    <w:rsid w:val="002E3DF2"/>
    <w:rsid w:val="003448F5"/>
    <w:rsid w:val="00351C5A"/>
    <w:rsid w:val="005914D1"/>
    <w:rsid w:val="005C4944"/>
    <w:rsid w:val="005F3E8D"/>
    <w:rsid w:val="00627E0D"/>
    <w:rsid w:val="007068FF"/>
    <w:rsid w:val="00733194"/>
    <w:rsid w:val="007F383A"/>
    <w:rsid w:val="008221A4"/>
    <w:rsid w:val="00825CB0"/>
    <w:rsid w:val="00887073"/>
    <w:rsid w:val="009A6916"/>
    <w:rsid w:val="009F471D"/>
    <w:rsid w:val="00A44634"/>
    <w:rsid w:val="00B40822"/>
    <w:rsid w:val="00B53F66"/>
    <w:rsid w:val="00B755C2"/>
    <w:rsid w:val="00BD2064"/>
    <w:rsid w:val="00BE3733"/>
    <w:rsid w:val="00C400B6"/>
    <w:rsid w:val="00C416FF"/>
    <w:rsid w:val="00CB5CBB"/>
    <w:rsid w:val="00CD34B4"/>
    <w:rsid w:val="00CD53FC"/>
    <w:rsid w:val="00DE4920"/>
    <w:rsid w:val="00F71C59"/>
    <w:rsid w:val="2F30784A"/>
    <w:rsid w:val="31705DC8"/>
    <w:rsid w:val="33004680"/>
    <w:rsid w:val="334A4F12"/>
    <w:rsid w:val="38845FB9"/>
    <w:rsid w:val="4EDF57BF"/>
    <w:rsid w:val="56A733A9"/>
    <w:rsid w:val="6F81731B"/>
    <w:rsid w:val="754A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7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cs="Times New Roman"/>
      <w:kern w:val="2"/>
      <w:sz w:val="21"/>
      <w:szCs w:val="22"/>
    </w:rPr>
  </w:style>
  <w:style w:type="character" w:customStyle="1" w:styleId="13">
    <w:name w:val="标题 1 Char"/>
    <w:basedOn w:val="9"/>
    <w:link w:val="2"/>
    <w:uiPriority w:val="9"/>
    <w:rPr>
      <w:rFonts w:ascii="Calibri" w:hAnsi="Calibri" w:cs="Arial"/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character" w:customStyle="1" w:styleId="15">
    <w:name w:val="标题 3 Char"/>
    <w:basedOn w:val="9"/>
    <w:link w:val="4"/>
    <w:qFormat/>
    <w:uiPriority w:val="9"/>
    <w:rPr>
      <w:rFonts w:ascii="Calibri" w:hAnsi="Calibri" w:cs="Arial"/>
      <w:b/>
      <w:bCs/>
      <w:kern w:val="0"/>
      <w:sz w:val="32"/>
      <w:szCs w:val="32"/>
    </w:rPr>
  </w:style>
  <w:style w:type="character" w:customStyle="1" w:styleId="16">
    <w:name w:val="批注框文本 Char"/>
    <w:basedOn w:val="9"/>
    <w:link w:val="5"/>
    <w:semiHidden/>
    <w:uiPriority w:val="99"/>
    <w:rPr>
      <w:rFonts w:ascii="Calibri" w:hAnsi="Calibri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emf"/><Relationship Id="rId7" Type="http://schemas.openxmlformats.org/officeDocument/2006/relationships/oleObject" Target="embeddings/oleObject1.bin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</Words>
  <Characters>1253</Characters>
  <Lines>10</Lines>
  <Paragraphs>2</Paragraphs>
  <TotalTime>7</TotalTime>
  <ScaleCrop>false</ScaleCrop>
  <LinksUpToDate>false</LinksUpToDate>
  <CharactersWithSpaces>1470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2021-01-11T04:11:00Z</dcterms:created>
  <dc:creator>郝 玉谦</dc:creator>
  <cp:lastModifiedBy>碧海一白丁</cp:lastModifiedBy>
  <cp:lastPrinted>2021-01-28T09:17:32Z</cp:lastPrinted>
  <dcterms:modified xsi:type="dcterms:W3CDTF">2021-01-28T09:30:53Z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