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2：</w:t>
      </w:r>
    </w:p>
    <w:p>
      <w:pPr>
        <w:shd w:val="clear" w:color="auto" w:fill="FFFFFF"/>
        <w:overflowPunct w:val="0"/>
        <w:spacing w:line="560" w:lineRule="exact"/>
        <w:ind w:firstLine="1802" w:firstLineChars="500"/>
        <w:jc w:val="left"/>
        <w:outlineLvl w:val="0"/>
        <w:rPr>
          <w:rFonts w:ascii="华文中宋" w:hAnsi="华文中宋" w:eastAsia="华文中宋" w:cs="宋体"/>
          <w:b/>
          <w:bCs/>
          <w:snapToGrid w:val="0"/>
          <w:color w:val="333333"/>
          <w:kern w:val="3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snapToGrid w:val="0"/>
          <w:color w:val="333333"/>
          <w:kern w:val="30"/>
          <w:sz w:val="36"/>
          <w:szCs w:val="36"/>
        </w:rPr>
        <w:t>校内电动自行车安全排查整治</w:t>
      </w:r>
      <w:r>
        <w:rPr>
          <w:rFonts w:hint="eastAsia" w:ascii="华文中宋" w:hAnsi="华文中宋" w:eastAsia="华文中宋" w:cs="宋体"/>
          <w:b/>
          <w:bCs/>
          <w:snapToGrid w:val="0"/>
          <w:color w:val="333333"/>
          <w:kern w:val="30"/>
          <w:sz w:val="36"/>
          <w:szCs w:val="36"/>
          <w:lang w:val="en-US" w:eastAsia="zh-CN"/>
        </w:rPr>
        <w:t>自查</w:t>
      </w:r>
      <w:r>
        <w:rPr>
          <w:rFonts w:hint="eastAsia" w:ascii="华文中宋" w:hAnsi="华文中宋" w:eastAsia="华文中宋" w:cs="宋体"/>
          <w:b/>
          <w:bCs/>
          <w:snapToGrid w:val="0"/>
          <w:color w:val="333333"/>
          <w:kern w:val="30"/>
          <w:sz w:val="36"/>
          <w:szCs w:val="36"/>
        </w:rPr>
        <w:t>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411"/>
        <w:gridCol w:w="2132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0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单位名称：</w:t>
            </w:r>
          </w:p>
        </w:tc>
        <w:tc>
          <w:tcPr>
            <w:tcW w:w="3684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4" w:type="dxa"/>
            <w:gridSpan w:val="4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校内停放电动自行车数量</w:t>
            </w:r>
          </w:p>
        </w:tc>
        <w:tc>
          <w:tcPr>
            <w:tcW w:w="3684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共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校内是否设置集中停车区(棚)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84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□已设置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□未设置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是否提供充电电源</w:t>
            </w:r>
          </w:p>
        </w:tc>
        <w:tc>
          <w:tcPr>
            <w:tcW w:w="3684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□提供充电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□不提供充电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5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停车区(棚)所处的位置</w:t>
            </w:r>
          </w:p>
        </w:tc>
        <w:tc>
          <w:tcPr>
            <w:tcW w:w="3684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□地上(围墙附近或开阔区域)</w:t>
            </w:r>
          </w:p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□室内（首层）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□地下室或半地下室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923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检查内容</w:t>
            </w:r>
          </w:p>
        </w:tc>
        <w:tc>
          <w:tcPr>
            <w:tcW w:w="141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是（否）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3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是否组织开展电动自行车违规停放、充电行为排查整治</w:t>
            </w:r>
          </w:p>
        </w:tc>
        <w:tc>
          <w:tcPr>
            <w:tcW w:w="141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3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是否严禁校内建筑内部的楼梯间、疏散通道、安全出口、避难层(间)等区域停放电动自行车及充电</w:t>
            </w:r>
          </w:p>
        </w:tc>
        <w:tc>
          <w:tcPr>
            <w:tcW w:w="141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3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是否落实电动自行车集中停放</w:t>
            </w:r>
          </w:p>
        </w:tc>
        <w:tc>
          <w:tcPr>
            <w:tcW w:w="141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3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360" w:lineRule="exact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是否落实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充电安全保障措施：如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安装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和使用定时充电、智能保护等装置</w:t>
            </w:r>
          </w:p>
        </w:tc>
        <w:tc>
          <w:tcPr>
            <w:tcW w:w="141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23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是否调查掌握校内电动自行车停放、充电需求和缺口情况</w:t>
            </w:r>
          </w:p>
        </w:tc>
        <w:tc>
          <w:tcPr>
            <w:tcW w:w="141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23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是否对师生员工开展电动自行车充电安全宣传教育</w:t>
            </w:r>
          </w:p>
        </w:tc>
        <w:tc>
          <w:tcPr>
            <w:tcW w:w="141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23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是否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杜绝违规室内充电、违法使用超标蓄电池、充电线路乱拉乱接问题</w:t>
            </w:r>
          </w:p>
        </w:tc>
        <w:tc>
          <w:tcPr>
            <w:tcW w:w="141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23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是否存在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充电设施安装不规范问题</w:t>
            </w:r>
          </w:p>
        </w:tc>
        <w:tc>
          <w:tcPr>
            <w:tcW w:w="141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23" w:type="dxa"/>
            <w:gridSpan w:val="2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是否存在电动自行车蓄电池、充电器老化或破损</w:t>
            </w:r>
          </w:p>
        </w:tc>
        <w:tc>
          <w:tcPr>
            <w:tcW w:w="1416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color w:val="52535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/>
                <w:color w:val="52535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仿宋_GB2312" w:hAnsi="Calibri" w:eastAsia="仿宋_GB2312"/>
                <w:color w:val="52535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339" w:type="dxa"/>
            <w:gridSpan w:val="3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spacing w:line="360" w:lineRule="exact"/>
              <w:jc w:val="left"/>
              <w:rPr>
                <w:rFonts w:ascii="仿宋_GB2312" w:hAnsi="Calibri" w:eastAsia="仿宋_GB2312"/>
                <w:color w:val="52535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Calibri" w:eastAsia="仿宋_GB2312"/>
                <w:color w:val="525353"/>
                <w:sz w:val="24"/>
                <w:szCs w:val="24"/>
                <w:shd w:val="clear" w:color="auto" w:fill="FFFFFF"/>
              </w:rPr>
              <w:t>存在的不足和问题隐患：</w:t>
            </w:r>
          </w:p>
          <w:p>
            <w:pPr>
              <w:spacing w:line="360" w:lineRule="exact"/>
              <w:jc w:val="left"/>
              <w:rPr>
                <w:rFonts w:ascii="仿宋_GB2312" w:hAnsi="Calibri" w:eastAsia="仿宋_GB2312"/>
                <w:color w:val="525353"/>
                <w:sz w:val="24"/>
                <w:szCs w:val="24"/>
                <w:shd w:val="clear" w:color="auto" w:fill="FFFFFF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Calibri" w:eastAsia="仿宋_GB2312"/>
                <w:color w:val="525353"/>
                <w:sz w:val="24"/>
                <w:szCs w:val="24"/>
                <w:shd w:val="clear" w:color="auto" w:fill="FFFFFF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Calibri" w:eastAsia="仿宋_GB2312"/>
                <w:color w:val="525353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napToGrid w:val="0"/>
        <w:spacing w:line="560" w:lineRule="exact"/>
        <w:jc w:val="left"/>
        <w:rPr>
          <w:rFonts w:hint="eastAsia" w:ascii="仿宋_GB2312" w:hAnsi="Calibri" w:eastAsia="仿宋_GB2312"/>
          <w:color w:val="525353"/>
          <w:sz w:val="24"/>
          <w:szCs w:val="24"/>
          <w:shd w:val="clear" w:color="auto" w:fill="FFFFFF"/>
        </w:rPr>
      </w:pPr>
      <w:r>
        <w:rPr>
          <w:rFonts w:hint="eastAsia" w:ascii="仿宋_GB2312" w:hAnsi="Calibri" w:eastAsia="仿宋_GB2312"/>
          <w:color w:val="525353"/>
          <w:sz w:val="24"/>
          <w:szCs w:val="24"/>
          <w:shd w:val="clear" w:color="auto" w:fill="FFFFFF"/>
        </w:rPr>
        <w:t>校</w:t>
      </w:r>
      <w:r>
        <w:rPr>
          <w:rFonts w:hint="eastAsia" w:ascii="仿宋_GB2312" w:hAnsi="Calibri" w:eastAsia="仿宋_GB2312"/>
          <w:color w:val="525353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仿宋_GB2312" w:hAnsi="Calibri" w:eastAsia="仿宋_GB2312"/>
          <w:color w:val="525353"/>
          <w:sz w:val="24"/>
          <w:szCs w:val="24"/>
          <w:shd w:val="clear" w:color="auto" w:fill="FFFFFF"/>
        </w:rPr>
        <w:t>园</w:t>
      </w:r>
      <w:r>
        <w:rPr>
          <w:rFonts w:hint="eastAsia" w:ascii="仿宋_GB2312" w:hAnsi="Calibri" w:eastAsia="仿宋_GB2312"/>
          <w:color w:val="525353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仿宋_GB2312" w:hAnsi="Calibri" w:eastAsia="仿宋_GB2312"/>
          <w:color w:val="525353"/>
          <w:sz w:val="24"/>
          <w:szCs w:val="24"/>
          <w:shd w:val="clear" w:color="auto" w:fill="FFFFFF"/>
        </w:rPr>
        <w:t xml:space="preserve">长签名： </w:t>
      </w:r>
      <w:r>
        <w:rPr>
          <w:rFonts w:ascii="仿宋_GB2312" w:hAnsi="Calibri" w:eastAsia="仿宋_GB2312"/>
          <w:color w:val="525353"/>
          <w:sz w:val="24"/>
          <w:szCs w:val="24"/>
          <w:shd w:val="clear" w:color="auto" w:fill="FFFFFF"/>
        </w:rPr>
        <w:t xml:space="preserve">                 填报人：</w:t>
      </w:r>
      <w:r>
        <w:rPr>
          <w:rFonts w:hint="eastAsia" w:ascii="仿宋_GB2312" w:hAnsi="Calibri" w:eastAsia="仿宋_GB2312"/>
          <w:color w:val="525353"/>
          <w:sz w:val="24"/>
          <w:szCs w:val="24"/>
          <w:shd w:val="clear" w:color="auto" w:fill="FFFFFF"/>
        </w:rPr>
        <w:t xml:space="preserve"> </w:t>
      </w:r>
      <w:r>
        <w:rPr>
          <w:rFonts w:ascii="仿宋_GB2312" w:hAnsi="Calibri" w:eastAsia="仿宋_GB2312"/>
          <w:color w:val="525353"/>
          <w:sz w:val="24"/>
          <w:szCs w:val="24"/>
          <w:shd w:val="clear" w:color="auto" w:fill="FFFFFF"/>
        </w:rPr>
        <w:t xml:space="preserve">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E149C"/>
    <w:rsid w:val="753E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2022-06-10T01:04:00Z</dcterms:created>
  <dc:creator>金沙布衣</dc:creator>
  <cp:lastModifiedBy>金沙布衣</cp:lastModifiedBy>
  <dcterms:modified xsi:type="dcterms:W3CDTF">2022-06-10T01:04:53Z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