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黑体" w:hAnsi="黑体" w:eastAsia="黑体"/>
          <w:color w:val="auto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××学校心理高危学生统计表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）</w:t>
      </w:r>
    </w:p>
    <w:tbl>
      <w:tblPr>
        <w:tblStyle w:val="2"/>
        <w:tblW w:w="500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130"/>
        <w:gridCol w:w="1228"/>
        <w:gridCol w:w="1778"/>
        <w:gridCol w:w="1546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41" w:type="pct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shd w:val="clear" w:color="auto" w:fill="E6E7E8"/>
            <w:vAlign w:val="center"/>
          </w:tcPr>
          <w:p>
            <w:pPr>
              <w:spacing w:before="4" w:line="13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left="141" w:right="-20"/>
              <w:jc w:val="center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序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号</w:t>
            </w:r>
          </w:p>
        </w:tc>
        <w:tc>
          <w:tcPr>
            <w:tcW w:w="678" w:type="pct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6E7E8"/>
            <w:vAlign w:val="center"/>
          </w:tcPr>
          <w:p>
            <w:pPr>
              <w:spacing w:before="4" w:line="13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left="229" w:right="-20"/>
              <w:jc w:val="center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姓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名</w:t>
            </w:r>
          </w:p>
        </w:tc>
        <w:tc>
          <w:tcPr>
            <w:tcW w:w="737" w:type="pct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6E7E8"/>
            <w:vAlign w:val="center"/>
          </w:tcPr>
          <w:p>
            <w:pPr>
              <w:spacing w:before="4" w:line="13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left="85" w:right="-20"/>
              <w:jc w:val="center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年级班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级</w:t>
            </w:r>
          </w:p>
        </w:tc>
        <w:tc>
          <w:tcPr>
            <w:tcW w:w="1067" w:type="pct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6E7E8"/>
            <w:vAlign w:val="center"/>
          </w:tcPr>
          <w:p>
            <w:pPr>
              <w:spacing w:before="4" w:line="13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left="286" w:right="-20"/>
              <w:jc w:val="center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危机类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别</w:t>
            </w:r>
          </w:p>
        </w:tc>
        <w:tc>
          <w:tcPr>
            <w:tcW w:w="928" w:type="pct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6E7E8"/>
            <w:vAlign w:val="center"/>
          </w:tcPr>
          <w:p>
            <w:pPr>
              <w:spacing w:before="33" w:line="280" w:lineRule="exact"/>
              <w:ind w:left="201" w:right="43" w:hanging="91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是否已制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定</w:t>
            </w:r>
            <w:r>
              <w:rPr>
                <w:rFonts w:hint="eastAsia" w:ascii="宋体" w:hAnsi="宋体" w:eastAsia="宋体" w:cs="Arial Unicode MS"/>
                <w:color w:val="auto"/>
                <w:spacing w:val="2"/>
                <w:szCs w:val="21"/>
              </w:rPr>
              <w:t>/</w:t>
            </w: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实施干预方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案</w:t>
            </w:r>
          </w:p>
        </w:tc>
        <w:tc>
          <w:tcPr>
            <w:tcW w:w="1046" w:type="pct"/>
            <w:tcBorders>
              <w:top w:val="single" w:color="231F20" w:sz="4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shd w:val="clear" w:color="auto" w:fill="E6E7E8"/>
            <w:vAlign w:val="center"/>
          </w:tcPr>
          <w:p>
            <w:pPr>
              <w:spacing w:before="4" w:line="13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  <w:p>
            <w:pPr>
              <w:ind w:left="93" w:right="-20"/>
              <w:jc w:val="center"/>
              <w:rPr>
                <w:rFonts w:ascii="宋体" w:hAnsi="宋体" w:eastAsia="宋体" w:cs="Arial Unicode MS"/>
                <w:color w:val="auto"/>
                <w:szCs w:val="21"/>
              </w:rPr>
            </w:pPr>
            <w:r>
              <w:rPr>
                <w:rFonts w:ascii="宋体" w:hAnsi="宋体" w:eastAsia="宋体" w:cs="Arial Unicode MS"/>
                <w:color w:val="auto"/>
                <w:spacing w:val="2"/>
                <w:szCs w:val="21"/>
              </w:rPr>
              <w:t>联系人及电</w:t>
            </w:r>
            <w:r>
              <w:rPr>
                <w:rFonts w:ascii="宋体" w:hAnsi="宋体" w:eastAsia="宋体" w:cs="Arial Unicode MS"/>
                <w:color w:val="auto"/>
                <w:szCs w:val="21"/>
              </w:rPr>
              <w:t>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41" w:type="pct"/>
            <w:tcBorders>
              <w:top w:val="single" w:color="231F20" w:sz="2" w:space="0"/>
              <w:left w:val="single" w:color="231F20" w:sz="4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67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3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67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928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046" w:type="pct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注：1.高危学生指的是有以下状况的学生：（1）在心理普查或心理辅导中发现严重心理问题，并出现明显心理或行为异常的学生；（2）在学习或生活中遭遇突然打击而出现明显的情绪异常的学生；（3）患有严重心理障碍或精神障碍并已确诊却仍在学校的学生；（4）自杀未遂或有自杀倾向的学生；（5）有自伤行为的学生。</w:t>
      </w:r>
    </w:p>
    <w:p>
      <w:pPr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2.所有心理危机干预个案均要严格依照程序上报，并寻求专业督导。</w:t>
      </w:r>
    </w:p>
    <w:p>
      <w:r>
        <w:rPr>
          <w:rFonts w:hint="eastAsia" w:ascii="宋体" w:hAnsi="宋体" w:eastAsia="宋体" w:cs="宋体"/>
          <w:color w:val="auto"/>
          <w:szCs w:val="21"/>
        </w:rPr>
        <w:t>3.表中联系人指的是心理高危学生的家长（监护人）。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YTYxZjAxYjZkMGYzMWQ5ODc3ZTBlNzAwMzEzMTkifQ=="/>
  </w:docVars>
  <w:rsids>
    <w:rsidRoot w:val="1043511C"/>
    <w:rsid w:val="1043511C"/>
    <w:rsid w:val="24DD37CF"/>
    <w:rsid w:val="2901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1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2022-06-12T07:23:00Z</dcterms:created>
  <dc:creator>史歆涵</dc:creator>
  <cp:lastModifiedBy>爱-mango</cp:lastModifiedBy>
  <dcterms:modified xsi:type="dcterms:W3CDTF">2022-06-14T08:14:51Z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839A0854D8754AB0BD1EAFB246B34B26</vt:lpwstr>
  </property>
</Properties>
</file>