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36"/>
          <w:szCs w:val="36"/>
        </w:rPr>
      </w:pPr>
      <w:bookmarkStart w:id="0" w:name="_Toc4624"/>
      <w:bookmarkStart w:id="23" w:name="_GoBack"/>
      <w:bookmarkEnd w:id="23"/>
      <w:r>
        <w:rPr>
          <w:rFonts w:hint="eastAsia"/>
          <w:b/>
          <w:bCs/>
          <w:sz w:val="36"/>
          <w:szCs w:val="36"/>
        </w:rPr>
        <w:t>江苏省行政事业单位低效闲置资产清查盘活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系统上报操作指南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2344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_Toc4624 </w:instrText>
          </w:r>
          <w:r>
            <w:fldChar w:fldCharType="separate"/>
          </w:r>
          <w:r>
            <w:rPr>
              <w:rFonts w:hint="eastAsia"/>
              <w:bCs/>
              <w:szCs w:val="36"/>
            </w:rPr>
            <w:t>江苏省行政事业单位低效闲置资产清查盘活</w:t>
          </w:r>
          <w:r>
            <w:tab/>
          </w:r>
          <w:r>
            <w:fldChar w:fldCharType="begin"/>
          </w:r>
          <w:r>
            <w:instrText xml:space="preserve"> PAGEREF _Toc4624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_Toc32391 </w:instrText>
          </w:r>
          <w:r>
            <w:fldChar w:fldCharType="separate"/>
          </w:r>
          <w:r>
            <w:rPr>
              <w:rFonts w:hint="eastAsia"/>
            </w:rPr>
            <w:t>一、 系统初始化</w:t>
          </w:r>
          <w:r>
            <w:tab/>
          </w:r>
          <w:r>
            <w:fldChar w:fldCharType="begin"/>
          </w:r>
          <w:r>
            <w:instrText xml:space="preserve"> PAGEREF _Toc32391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_Toc29809 </w:instrText>
          </w:r>
          <w:r>
            <w:fldChar w:fldCharType="separate"/>
          </w:r>
          <w:r>
            <w:rPr>
              <w:rFonts w:hint="eastAsia"/>
            </w:rPr>
            <w:t>1.1 登录地址</w:t>
          </w:r>
          <w:r>
            <w:tab/>
          </w:r>
          <w:r>
            <w:fldChar w:fldCharType="begin"/>
          </w:r>
          <w:r>
            <w:instrText xml:space="preserve"> PAGEREF _Toc29809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_Toc3701 </w:instrText>
          </w:r>
          <w:r>
            <w:fldChar w:fldCharType="separate"/>
          </w:r>
          <w:r>
            <w:rPr>
              <w:rFonts w:hint="eastAsia"/>
            </w:rPr>
            <w:t>1.2 登录账号</w:t>
          </w:r>
          <w:r>
            <w:tab/>
          </w:r>
          <w:r>
            <w:fldChar w:fldCharType="begin"/>
          </w:r>
          <w:r>
            <w:instrText xml:space="preserve"> PAGEREF _Toc3701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_Toc1046 </w:instrText>
          </w:r>
          <w:r>
            <w:fldChar w:fldCharType="separate"/>
          </w:r>
          <w:r>
            <w:rPr>
              <w:rFonts w:hint="eastAsia"/>
            </w:rPr>
            <w:t>1.3 修改密码</w:t>
          </w:r>
          <w:r>
            <w:tab/>
          </w:r>
          <w:r>
            <w:fldChar w:fldCharType="begin"/>
          </w:r>
          <w:r>
            <w:instrText xml:space="preserve"> PAGEREF _Toc1046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_Toc29532 </w:instrText>
          </w:r>
          <w:r>
            <w:fldChar w:fldCharType="separate"/>
          </w:r>
          <w:r>
            <w:rPr>
              <w:rFonts w:hint="eastAsia"/>
            </w:rPr>
            <w:t>二、 闲置资产清查单位填报</w:t>
          </w:r>
          <w:r>
            <w:tab/>
          </w:r>
          <w:r>
            <w:fldChar w:fldCharType="begin"/>
          </w:r>
          <w:r>
            <w:instrText xml:space="preserve"> PAGEREF _Toc29532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_Toc9086 </w:instrText>
          </w:r>
          <w:r>
            <w:fldChar w:fldCharType="separate"/>
          </w:r>
          <w:r>
            <w:rPr>
              <w:rFonts w:hint="eastAsia"/>
            </w:rPr>
            <w:t>2.1 单位填报</w:t>
          </w:r>
          <w:r>
            <w:tab/>
          </w:r>
          <w:r>
            <w:fldChar w:fldCharType="begin"/>
          </w:r>
          <w:r>
            <w:instrText xml:space="preserve"> PAGEREF _Toc9086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_Toc3558 </w:instrText>
          </w:r>
          <w:r>
            <w:fldChar w:fldCharType="separate"/>
          </w:r>
          <w:r>
            <w:rPr>
              <w:rFonts w:hint="eastAsia"/>
            </w:rPr>
            <w:t>2.2 报表上报</w:t>
          </w:r>
          <w:r>
            <w:tab/>
          </w:r>
          <w:r>
            <w:fldChar w:fldCharType="begin"/>
          </w:r>
          <w:r>
            <w:instrText xml:space="preserve"> PAGEREF _Toc3558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_Toc16431 </w:instrText>
          </w:r>
          <w:r>
            <w:fldChar w:fldCharType="separate"/>
          </w:r>
          <w:r>
            <w:rPr>
              <w:rFonts w:hint="eastAsia"/>
            </w:rPr>
            <w:t>三、 闲置资产清查审核</w:t>
          </w:r>
          <w:r>
            <w:tab/>
          </w:r>
          <w:r>
            <w:fldChar w:fldCharType="begin"/>
          </w:r>
          <w:r>
            <w:instrText xml:space="preserve"> PAGEREF _Toc16431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_Toc28418 </w:instrText>
          </w:r>
          <w:r>
            <w:fldChar w:fldCharType="separate"/>
          </w:r>
          <w:r>
            <w:rPr>
              <w:rFonts w:hint="eastAsia"/>
            </w:rPr>
            <w:t>3</w:t>
          </w:r>
          <w:r>
            <w:t xml:space="preserve">.1 </w:t>
          </w:r>
          <w:r>
            <w:rPr>
              <w:rFonts w:hint="eastAsia"/>
            </w:rPr>
            <w:t>主管审核</w:t>
          </w:r>
          <w:r>
            <w:tab/>
          </w:r>
          <w:r>
            <w:fldChar w:fldCharType="begin"/>
          </w:r>
          <w:r>
            <w:instrText xml:space="preserve"> PAGEREF _Toc28418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_Toc753 </w:instrText>
          </w:r>
          <w:r>
            <w:fldChar w:fldCharType="separate"/>
          </w:r>
          <w:r>
            <w:rPr>
              <w:rFonts w:hint="eastAsia"/>
            </w:rPr>
            <w:t>3.2</w:t>
          </w:r>
          <w:r>
            <w:t xml:space="preserve"> </w:t>
          </w:r>
          <w:r>
            <w:rPr>
              <w:rFonts w:hint="eastAsia"/>
            </w:rPr>
            <w:t>闲置资产汇总</w:t>
          </w:r>
          <w:r>
            <w:tab/>
          </w:r>
          <w:r>
            <w:fldChar w:fldCharType="begin"/>
          </w:r>
          <w:r>
            <w:instrText xml:space="preserve"> PAGEREF _Toc753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_Toc20894 </w:instrText>
          </w:r>
          <w:r>
            <w:fldChar w:fldCharType="separate"/>
          </w:r>
          <w:r>
            <w:rPr>
              <w:rFonts w:hint="eastAsia"/>
            </w:rPr>
            <w:t>3</w:t>
          </w:r>
          <w:r>
            <w:t xml:space="preserve">.3 </w:t>
          </w:r>
          <w:r>
            <w:rPr>
              <w:rFonts w:hint="eastAsia"/>
            </w:rPr>
            <w:t>联络方式填报</w:t>
          </w:r>
          <w:r>
            <w:tab/>
          </w:r>
          <w:r>
            <w:fldChar w:fldCharType="begin"/>
          </w:r>
          <w:r>
            <w:instrText xml:space="preserve"> PAGEREF _Toc20894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_Toc8028 </w:instrText>
          </w:r>
          <w:r>
            <w:fldChar w:fldCharType="separate"/>
          </w:r>
          <w:r>
            <w:rPr>
              <w:rFonts w:hint="eastAsia"/>
            </w:rPr>
            <w:t>3</w:t>
          </w:r>
          <w:r>
            <w:t xml:space="preserve">.4 </w:t>
          </w:r>
          <w:r>
            <w:rPr>
              <w:rFonts w:hint="eastAsia"/>
            </w:rPr>
            <w:t>盘活工作方案上传</w:t>
          </w:r>
          <w:r>
            <w:tab/>
          </w:r>
          <w:r>
            <w:fldChar w:fldCharType="begin"/>
          </w:r>
          <w:r>
            <w:instrText xml:space="preserve"> PAGEREF _Toc8028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_Toc23792 </w:instrText>
          </w:r>
          <w:r>
            <w:fldChar w:fldCharType="separate"/>
          </w:r>
          <w:r>
            <w:rPr>
              <w:rFonts w:hint="eastAsia"/>
            </w:rPr>
            <w:t>3</w:t>
          </w:r>
          <w:r>
            <w:t xml:space="preserve">.5 </w:t>
          </w:r>
          <w:r>
            <w:rPr>
              <w:rFonts w:hint="eastAsia"/>
            </w:rPr>
            <w:t>主管上报</w:t>
          </w:r>
          <w:r>
            <w:tab/>
          </w:r>
          <w:r>
            <w:fldChar w:fldCharType="begin"/>
          </w:r>
          <w:r>
            <w:instrText xml:space="preserve"> PAGEREF _Toc23792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_Toc16309 </w:instrText>
          </w:r>
          <w:r>
            <w:fldChar w:fldCharType="separate"/>
          </w:r>
          <w:r>
            <w:rPr>
              <w:rFonts w:hint="eastAsia"/>
            </w:rPr>
            <w:t>四、 清查盘活进度月度上报</w:t>
          </w:r>
          <w:r>
            <w:tab/>
          </w:r>
          <w:r>
            <w:fldChar w:fldCharType="begin"/>
          </w:r>
          <w:r>
            <w:instrText xml:space="preserve"> PAGEREF _Toc16309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_Toc19667 </w:instrText>
          </w:r>
          <w:r>
            <w:fldChar w:fldCharType="separate"/>
          </w:r>
          <w:r>
            <w:rPr>
              <w:rFonts w:hint="eastAsia"/>
            </w:rPr>
            <w:t>4.1 单位填报</w:t>
          </w:r>
          <w:r>
            <w:tab/>
          </w:r>
          <w:r>
            <w:fldChar w:fldCharType="begin"/>
          </w:r>
          <w:r>
            <w:instrText xml:space="preserve"> PAGEREF _Toc19667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_Toc11622 </w:instrText>
          </w:r>
          <w:r>
            <w:fldChar w:fldCharType="separate"/>
          </w:r>
          <w:r>
            <w:rPr>
              <w:rFonts w:hint="eastAsia"/>
            </w:rPr>
            <w:t>4.2 进度上报</w:t>
          </w:r>
          <w:r>
            <w:tab/>
          </w:r>
          <w:r>
            <w:fldChar w:fldCharType="begin"/>
          </w:r>
          <w:r>
            <w:instrText xml:space="preserve"> PAGEREF _Toc11622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_Toc15196 </w:instrText>
          </w:r>
          <w:r>
            <w:fldChar w:fldCharType="separate"/>
          </w:r>
          <w:r>
            <w:rPr>
              <w:rFonts w:hint="eastAsia"/>
            </w:rPr>
            <w:t>五、 盘活进度审核</w:t>
          </w:r>
          <w:r>
            <w:tab/>
          </w:r>
          <w:r>
            <w:fldChar w:fldCharType="begin"/>
          </w:r>
          <w:r>
            <w:instrText xml:space="preserve"> PAGEREF _Toc15196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_Toc27678 </w:instrText>
          </w:r>
          <w:r>
            <w:fldChar w:fldCharType="separate"/>
          </w:r>
          <w:r>
            <w:rPr>
              <w:rFonts w:hint="eastAsia"/>
            </w:rPr>
            <w:t>5</w:t>
          </w:r>
          <w:r>
            <w:t xml:space="preserve">.1 </w:t>
          </w:r>
          <w:r>
            <w:rPr>
              <w:rFonts w:hint="eastAsia"/>
            </w:rPr>
            <w:t>下级单位盘活进展查看</w:t>
          </w:r>
          <w:r>
            <w:tab/>
          </w:r>
          <w:r>
            <w:fldChar w:fldCharType="begin"/>
          </w:r>
          <w:r>
            <w:instrText xml:space="preserve"> PAGEREF _Toc27678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_Toc19676 </w:instrText>
          </w:r>
          <w:r>
            <w:fldChar w:fldCharType="separate"/>
          </w:r>
          <w:r>
            <w:rPr>
              <w:rFonts w:hint="eastAsia"/>
            </w:rPr>
            <w:t>5</w:t>
          </w:r>
          <w:r>
            <w:t xml:space="preserve">.2 </w:t>
          </w:r>
          <w:r>
            <w:rPr>
              <w:rFonts w:hint="eastAsia"/>
            </w:rPr>
            <w:t>主管审核盘活进展</w:t>
          </w:r>
          <w:r>
            <w:tab/>
          </w:r>
          <w:r>
            <w:fldChar w:fldCharType="begin"/>
          </w:r>
          <w:r>
            <w:instrText xml:space="preserve"> PAGEREF _Toc19676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_Toc2245 </w:instrText>
          </w:r>
          <w:r>
            <w:fldChar w:fldCharType="separate"/>
          </w:r>
          <w:r>
            <w:rPr>
              <w:rFonts w:hint="eastAsia"/>
            </w:rPr>
            <w:t>5</w:t>
          </w:r>
          <w:r>
            <w:t xml:space="preserve">.3 </w:t>
          </w:r>
          <w:r>
            <w:rPr>
              <w:rFonts w:hint="eastAsia"/>
            </w:rPr>
            <w:t>上传盘活进展总结</w:t>
          </w:r>
          <w:r>
            <w:tab/>
          </w:r>
          <w:r>
            <w:fldChar w:fldCharType="begin"/>
          </w:r>
          <w:r>
            <w:instrText xml:space="preserve"> PAGEREF _Toc2245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_Toc21773 </w:instrText>
          </w:r>
          <w:r>
            <w:fldChar w:fldCharType="separate"/>
          </w:r>
          <w:r>
            <w:rPr>
              <w:rFonts w:hint="eastAsia"/>
            </w:rPr>
            <w:t>5</w:t>
          </w:r>
          <w:r>
            <w:t xml:space="preserve">.4 </w:t>
          </w:r>
          <w:r>
            <w:rPr>
              <w:rFonts w:hint="eastAsia"/>
            </w:rPr>
            <w:t>主管上报</w:t>
          </w:r>
          <w:r>
            <w:tab/>
          </w:r>
          <w:r>
            <w:fldChar w:fldCharType="begin"/>
          </w:r>
          <w:r>
            <w:instrText xml:space="preserve"> PAGEREF _Toc21773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</w:tabs>
            <w:ind w:left="420"/>
          </w:pPr>
          <w:r>
            <w:fldChar w:fldCharType="end"/>
          </w:r>
        </w:p>
      </w:sdtContent>
    </w:sdt>
    <w:p>
      <w:pPr>
        <w:pStyle w:val="2"/>
        <w:numPr>
          <w:ilvl w:val="0"/>
          <w:numId w:val="1"/>
        </w:numPr>
      </w:pPr>
      <w:bookmarkStart w:id="1" w:name="_Toc32391"/>
      <w:r>
        <w:rPr>
          <w:rFonts w:hint="eastAsia"/>
        </w:rPr>
        <w:t>系统初始化</w:t>
      </w:r>
      <w:bookmarkEnd w:id="1"/>
    </w:p>
    <w:p>
      <w:pPr>
        <w:pStyle w:val="3"/>
      </w:pPr>
      <w:bookmarkStart w:id="2" w:name="_Toc29809"/>
      <w:r>
        <w:rPr>
          <w:rFonts w:hint="eastAsia"/>
        </w:rPr>
        <w:t>1.1 登录地址</w:t>
      </w:r>
      <w:bookmarkEnd w:id="2"/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财政内网地址    </w:t>
      </w:r>
      <w:r>
        <w:fldChar w:fldCharType="begin"/>
      </w:r>
      <w:r>
        <w:instrText xml:space="preserve"> HYPERLINK "http://10.65.205.44/fcfa/" </w:instrText>
      </w:r>
      <w:r>
        <w:fldChar w:fldCharType="separate"/>
      </w:r>
      <w:r>
        <w:rPr>
          <w:rStyle w:val="12"/>
          <w:rFonts w:hint="eastAsia" w:ascii="宋体" w:hAnsi="宋体" w:eastAsia="宋体" w:cs="宋体"/>
        </w:rPr>
        <w:t>http://10.65.248.23/fcfa/</w:t>
      </w:r>
      <w:r>
        <w:rPr>
          <w:rStyle w:val="12"/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 xml:space="preserve">  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使用政务网或其他内网的单位，可参考财政一体化访问网址，保留网址前半部分ip地址（即4段数字）不变，将/uportal改成/fcfa即可。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单位需提前确认网络环境，有财政内网线或电子政务网的单位可以直接访问进行填报，对于没有内网的单位，可联系网络运营商调整网络或者组织到主管局或财政集中填报。</w:t>
      </w:r>
    </w:p>
    <w:p>
      <w:pPr>
        <w:ind w:firstLine="420"/>
        <w:rPr>
          <w:rFonts w:ascii="宋体" w:hAnsi="宋体" w:eastAsia="宋体" w:cs="宋体"/>
        </w:rPr>
      </w:pP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推荐使用</w:t>
      </w:r>
      <w:r>
        <w:rPr>
          <w:rFonts w:hint="eastAsia" w:ascii="宋体" w:hAnsi="宋体" w:eastAsia="宋体" w:cs="宋体"/>
          <w:color w:val="FF0000"/>
        </w:rPr>
        <w:t>谷歌浏览器</w:t>
      </w:r>
      <w:r>
        <w:rPr>
          <w:rFonts w:hint="eastAsia" w:ascii="宋体" w:hAnsi="宋体" w:eastAsia="宋体" w:cs="宋体"/>
        </w:rPr>
        <w:t>进行访问，同时支持</w:t>
      </w:r>
      <w:r>
        <w:rPr>
          <w:rFonts w:hint="eastAsia" w:ascii="宋体" w:hAnsi="宋体" w:eastAsia="宋体" w:cs="宋体"/>
          <w:color w:val="FF0000"/>
        </w:rPr>
        <w:t>火狐浏览器、360浏览器（兼容模式）</w:t>
      </w:r>
      <w:r>
        <w:rPr>
          <w:rFonts w:hint="eastAsia" w:ascii="宋体" w:hAnsi="宋体" w:eastAsia="宋体" w:cs="宋体"/>
        </w:rPr>
        <w:t>，不支持IE浏览器。未安装上述浏览器的单位，可先通过IE浏览器访问资产云，在登录页面下载谷歌浏览器。见下图：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500880" cy="2701290"/>
            <wp:effectExtent l="0" t="0" r="13970" b="3810"/>
            <wp:docPr id="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2701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根据电脑操作系统版本选择安装包下载只能装谷歌浏览器。</w:t>
      </w:r>
    </w:p>
    <w:p>
      <w:pPr>
        <w:ind w:firstLine="420"/>
        <w:rPr>
          <w:rFonts w:ascii="宋体" w:hAnsi="宋体" w:eastAsia="宋体" w:cs="宋体"/>
        </w:rPr>
      </w:pPr>
    </w:p>
    <w:p>
      <w:pPr>
        <w:pStyle w:val="3"/>
      </w:pPr>
      <w:bookmarkStart w:id="3" w:name="_Toc3701"/>
      <w:r>
        <w:rPr>
          <w:rFonts w:hint="eastAsia"/>
        </w:rPr>
        <w:t>1.2 登录账号</w:t>
      </w:r>
      <w:bookmarkEnd w:id="3"/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登录用户名：同资产年报填报和汇总账号，用户名一般为组织机构代码+@zcnb</w:t>
      </w:r>
    </w:p>
    <w:p>
      <w:pPr>
        <w:rPr>
          <w:rFonts w:ascii="宋体" w:hAnsi="宋体" w:eastAsia="宋体" w:cs="宋体"/>
        </w:rPr>
      </w:pP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已上线资产云的单位，也可使用资产云</w:t>
      </w:r>
      <w:r>
        <w:rPr>
          <w:rFonts w:hint="eastAsia" w:ascii="宋体" w:hAnsi="宋体" w:eastAsia="宋体" w:cs="宋体"/>
          <w:lang w:val="en-US" w:eastAsia="zh-CN"/>
        </w:rPr>
        <w:t>资产管理人员</w:t>
      </w:r>
      <w:r>
        <w:rPr>
          <w:rFonts w:hint="eastAsia" w:ascii="宋体" w:hAnsi="宋体" w:eastAsia="宋体" w:cs="宋体"/>
        </w:rPr>
        <w:t>的个人账号（手机号）进行填报。</w:t>
      </w:r>
    </w:p>
    <w:p>
      <w:pPr>
        <w:pStyle w:val="3"/>
      </w:pPr>
      <w:bookmarkStart w:id="4" w:name="_Toc1046"/>
      <w:r>
        <w:rPr>
          <w:rFonts w:hint="eastAsia"/>
        </w:rPr>
        <w:t>1.3 修改密码</w:t>
      </w:r>
      <w:bookmarkEnd w:id="4"/>
    </w:p>
    <w:p>
      <w:r>
        <w:rPr>
          <w:rFonts w:hint="eastAsia"/>
        </w:rPr>
        <w:t>首次登录请先修改密码后再重新登录，密码修改按钮位于页面右上角，如下图：</w:t>
      </w: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853180" cy="795655"/>
            <wp:effectExtent l="0" t="0" r="13970" b="444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</w:rPr>
      </w:pPr>
    </w:p>
    <w:p>
      <w:pPr>
        <w:pStyle w:val="2"/>
        <w:numPr>
          <w:ilvl w:val="0"/>
          <w:numId w:val="1"/>
        </w:numPr>
      </w:pPr>
      <w:bookmarkStart w:id="5" w:name="_Toc29532"/>
      <w:r>
        <w:rPr>
          <w:rFonts w:hint="eastAsia"/>
        </w:rPr>
        <w:t>闲置资产清查单位填报</w:t>
      </w:r>
      <w:bookmarkEnd w:id="5"/>
    </w:p>
    <w:p>
      <w:pPr>
        <w:pStyle w:val="3"/>
      </w:pPr>
      <w:bookmarkStart w:id="6" w:name="_Toc9086"/>
      <w:r>
        <w:rPr>
          <w:rFonts w:hint="eastAsia"/>
        </w:rPr>
        <w:t>2.1 单位填报</w:t>
      </w:r>
      <w:bookmarkEnd w:id="6"/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登录系统后，点击左侧【资产清查】【闲置资产清查】菜单，进入如下页面，同时为优化菜单目录，原【资产年报】、【资产年报汇总】、【资产年报单位架构】菜单由原先一级菜单改为【资产清查】下的二级子菜单。</w:t>
      </w:r>
    </w:p>
    <w:p>
      <w:pPr>
        <w:rPr>
          <w:rFonts w:ascii="宋体" w:hAnsi="宋体" w:eastAsia="宋体" w:cs="宋体"/>
        </w:rPr>
      </w:pPr>
      <w:r>
        <w:drawing>
          <wp:inline distT="0" distB="0" distL="114300" distR="114300">
            <wp:extent cx="5270500" cy="2362835"/>
            <wp:effectExtent l="0" t="0" r="635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闲置资产清查共包括封面表和10张拟盘活资产情况明细表，明细表分别为房屋、土地、车辆、办公设备和家具、大型仪器、无形资产、公共基础设施、罚没资产、其他资产、应收账款，单位需根据实际清查盘点情况，分类填写低效闲置资产明细，以及拟盘活相关信息，通过左上角或报表上方的“查看说明”按钮，可查看报表填报要求和字段解释，每张报表填写完成后需点击左上角“保存”按钮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每张报表均支持</w:t>
      </w:r>
      <w:r>
        <w:rPr>
          <w:rFonts w:ascii="宋体" w:hAnsi="宋体" w:eastAsia="宋体" w:cs="宋体"/>
        </w:rPr>
        <w:t>Excel</w:t>
      </w:r>
      <w:r>
        <w:rPr>
          <w:rFonts w:hint="eastAsia" w:ascii="宋体" w:hAnsi="宋体" w:eastAsia="宋体" w:cs="宋体"/>
        </w:rPr>
        <w:t>导出和导入，单位如填报明细较多，可自行导出</w:t>
      </w:r>
      <w:r>
        <w:rPr>
          <w:rFonts w:ascii="宋体" w:hAnsi="宋体" w:eastAsia="宋体" w:cs="宋体"/>
        </w:rPr>
        <w:t>Excel</w:t>
      </w:r>
      <w:r>
        <w:rPr>
          <w:rFonts w:hint="eastAsia" w:ascii="宋体" w:hAnsi="宋体" w:eastAsia="宋体" w:cs="宋体"/>
        </w:rPr>
        <w:t>并填写完成后导入系统。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部分报表支持自动取数，可自动提取资产状态是“闲置”的存量卡片，如提取数据与实际情况不符，请自行修改。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填报完成后，可通过“拟盘活汇总”表查看各类资产类别的填写情况，包括填写数据行数、总面积\数量、总原值。</w:t>
      </w:r>
    </w:p>
    <w:p>
      <w:pPr>
        <w:rPr>
          <w:rFonts w:ascii="宋体" w:hAnsi="宋体" w:eastAsia="宋体" w:cs="宋体"/>
        </w:rPr>
      </w:pPr>
      <w:r>
        <w:drawing>
          <wp:inline distT="0" distB="0" distL="114300" distR="114300">
            <wp:extent cx="5267325" cy="3802380"/>
            <wp:effectExtent l="0" t="0" r="9525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</w:rPr>
      </w:pPr>
    </w:p>
    <w:p>
      <w:pPr>
        <w:pStyle w:val="3"/>
      </w:pPr>
      <w:bookmarkStart w:id="7" w:name="_Toc3558"/>
      <w:r>
        <w:rPr>
          <w:rFonts w:hint="eastAsia"/>
        </w:rPr>
        <w:t>2.2 报表上报</w:t>
      </w:r>
      <w:bookmarkEnd w:id="7"/>
    </w:p>
    <w:p>
      <w:pPr>
        <w:ind w:firstLine="42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闲置资产报表内容填写完成后，可通过右上角“上报”按钮进行报表上报，如单位不存在低效闲置资产，需填写封面表后空表上报。</w:t>
      </w:r>
    </w:p>
    <w:p>
      <w:pPr>
        <w:jc w:val="center"/>
        <w:rPr>
          <w:rFonts w:ascii="宋体" w:hAnsi="宋体" w:eastAsia="宋体" w:cs="宋体"/>
        </w:rPr>
      </w:pPr>
      <w:r>
        <w:drawing>
          <wp:inline distT="0" distB="0" distL="114300" distR="114300">
            <wp:extent cx="4288790" cy="3525520"/>
            <wp:effectExtent l="0" t="0" r="1651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上报成功后，上报状态中将显示待主管局审核提示，若主管单位未审核，仍可将上报结果撤回，重新调整。</w:t>
      </w:r>
    </w:p>
    <w:p>
      <w:pPr>
        <w:ind w:firstLine="420"/>
        <w:jc w:val="left"/>
        <w:rPr>
          <w:rFonts w:ascii="宋体" w:hAnsi="宋体" w:eastAsia="宋体" w:cs="宋体"/>
        </w:rPr>
      </w:pPr>
      <w:r>
        <w:drawing>
          <wp:inline distT="0" distB="0" distL="114300" distR="114300">
            <wp:extent cx="4524375" cy="138112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可点击左下方【全表导出】按钮，将报表内容进行全表导出或打印。截止至此，即完成了闲置资产清查的上报。</w:t>
      </w:r>
    </w:p>
    <w:p>
      <w:pPr>
        <w:jc w:val="left"/>
      </w:pPr>
      <w:r>
        <w:drawing>
          <wp:inline distT="0" distB="0" distL="114300" distR="114300">
            <wp:extent cx="5272405" cy="3644900"/>
            <wp:effectExtent l="0" t="0" r="4445" b="1270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</w:pPr>
      <w:bookmarkStart w:id="8" w:name="_Toc16431"/>
      <w:r>
        <w:rPr>
          <w:rFonts w:hint="eastAsia"/>
        </w:rPr>
        <w:t>闲置资产清查审核</w:t>
      </w:r>
      <w:bookmarkEnd w:id="8"/>
    </w:p>
    <w:p>
      <w:pPr>
        <w:pStyle w:val="3"/>
      </w:pPr>
      <w:bookmarkStart w:id="9" w:name="_Toc28418"/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主管审核</w:t>
      </w:r>
      <w:bookmarkEnd w:id="9"/>
    </w:p>
    <w:p>
      <w:pPr>
        <w:ind w:firstLine="420" w:firstLine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登陆系统后，点击左侧【资产清查】【闲置资产审核】菜单，进入如下页面，点击第一个页签【单位上报情况】，查看所属下级单位上报情况。上报情况分三种状态：</w:t>
      </w:r>
    </w:p>
    <w:p>
      <w:pPr>
        <w:ind w:left="1470" w:leftChars="200" w:hanging="1050" w:hangingChars="5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待确认：下级单位已经上报，需主管部门确认，点击右侧报表上方的【确认】或【退回】审核单位数据。</w:t>
      </w:r>
    </w:p>
    <w:p>
      <w:pPr>
        <w:ind w:firstLine="420" w:firstLine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已确认：主管部门已经确认审核通过。</w:t>
      </w:r>
    </w:p>
    <w:p>
      <w:pPr>
        <w:ind w:firstLine="420" w:firstLineChars="2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未提交：下级单位还未上报到主管。</w:t>
      </w:r>
    </w:p>
    <w:p>
      <w:pPr>
        <w:jc w:val="left"/>
      </w:pPr>
      <w:r>
        <w:drawing>
          <wp:inline distT="0" distB="0" distL="0" distR="0">
            <wp:extent cx="5274310" cy="2251710"/>
            <wp:effectExtent l="0" t="0" r="2540" b="0"/>
            <wp:docPr id="16818027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0270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</w:pPr>
      <w:r>
        <w:rPr>
          <w:rFonts w:hint="eastAsia"/>
        </w:rPr>
        <w:t>查看下级单位闲置资产报送数据：</w:t>
      </w:r>
    </w:p>
    <w:p>
      <w:pPr>
        <w:ind w:firstLine="420" w:firstLineChars="200"/>
        <w:jc w:val="left"/>
      </w:pPr>
      <w:r>
        <w:rPr>
          <w:rFonts w:hint="eastAsia"/>
        </w:rPr>
        <w:t>如下图，左侧单位树1选中单位，在右侧报表上方的下拉框2中选择闲置资产报表，报表界面3显示该单位相应报表填报情况。</w:t>
      </w:r>
    </w:p>
    <w:p>
      <w:pPr>
        <w:jc w:val="left"/>
      </w:pPr>
      <w:r>
        <w:drawing>
          <wp:inline distT="0" distB="0" distL="0" distR="0">
            <wp:extent cx="5274310" cy="1694180"/>
            <wp:effectExtent l="0" t="0" r="2540" b="1270"/>
            <wp:docPr id="18222548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5486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0" w:name="_Toc753"/>
      <w:r>
        <w:rPr>
          <w:rFonts w:hint="eastAsia"/>
        </w:rPr>
        <w:t>3.2</w:t>
      </w:r>
      <w:r>
        <w:t xml:space="preserve"> </w:t>
      </w:r>
      <w:r>
        <w:rPr>
          <w:rFonts w:hint="eastAsia"/>
        </w:rPr>
        <w:t>闲置资产汇总</w:t>
      </w:r>
      <w:bookmarkEnd w:id="10"/>
    </w:p>
    <w:p>
      <w:pPr>
        <w:jc w:val="left"/>
      </w:pPr>
      <w:r>
        <w:rPr>
          <w:rFonts w:hint="eastAsia"/>
        </w:rPr>
        <w:t>点击第二个页签【下级明细汇总】，按分类查看当前单位所有下属单位闲置资产的汇总情况。</w:t>
      </w:r>
    </w:p>
    <w:p>
      <w:pPr>
        <w:jc w:val="left"/>
      </w:pPr>
      <w:r>
        <w:drawing>
          <wp:inline distT="0" distB="0" distL="0" distR="0">
            <wp:extent cx="5274310" cy="2005330"/>
            <wp:effectExtent l="0" t="0" r="2540" b="0"/>
            <wp:docPr id="203679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79108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点击【联系方式】查看当前单位下属单位的联系方式汇总</w:t>
      </w:r>
    </w:p>
    <w:p>
      <w:pPr>
        <w:jc w:val="left"/>
      </w:pPr>
      <w:r>
        <w:drawing>
          <wp:inline distT="0" distB="0" distL="114300" distR="114300">
            <wp:extent cx="5261610" cy="2053590"/>
            <wp:effectExtent l="0" t="0" r="152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1" w:name="_Toc20894"/>
      <w:r>
        <w:rPr>
          <w:rFonts w:hint="eastAsia"/>
        </w:rPr>
        <w:t>3</w:t>
      </w:r>
      <w:r>
        <w:t xml:space="preserve">.3 </w:t>
      </w:r>
      <w:r>
        <w:rPr>
          <w:rFonts w:hint="eastAsia"/>
        </w:rPr>
        <w:t>联络方式填报</w:t>
      </w:r>
      <w:bookmarkEnd w:id="11"/>
    </w:p>
    <w:p>
      <w:pPr>
        <w:ind w:firstLine="420" w:firstLineChars="200"/>
        <w:jc w:val="left"/>
      </w:pPr>
      <w:r>
        <w:rPr>
          <w:rFonts w:hint="eastAsia"/>
        </w:rPr>
        <w:t>点击第三个页签【</w:t>
      </w:r>
      <w:r>
        <w:rPr>
          <w:rFonts w:hint="eastAsia"/>
          <w:lang w:val="en-US" w:eastAsia="zh-CN"/>
        </w:rPr>
        <w:t>联络方式</w:t>
      </w:r>
      <w:r>
        <w:rPr>
          <w:rFonts w:hint="eastAsia"/>
        </w:rPr>
        <w:t>填报】，填报本单位的联系方式。</w:t>
      </w:r>
    </w:p>
    <w:p>
      <w:pPr>
        <w:ind w:firstLine="420" w:firstLineChars="200"/>
        <w:jc w:val="left"/>
        <w:rPr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注：该表填报完成后，无需立即上报，系统会自动将联系方式汇总到上级单位。</w:t>
      </w:r>
    </w:p>
    <w:p>
      <w:pPr>
        <w:jc w:val="left"/>
      </w:pPr>
    </w:p>
    <w:p>
      <w:pPr>
        <w:pStyle w:val="3"/>
        <w:outlineLvl w:val="9"/>
        <w:rPr>
          <w:rFonts w:hint="eastAsia"/>
        </w:rPr>
      </w:pPr>
      <w:bookmarkStart w:id="12" w:name="_Toc17175"/>
      <w:r>
        <w:drawing>
          <wp:inline distT="0" distB="0" distL="114300" distR="114300">
            <wp:extent cx="5274310" cy="26219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>
      <w:pPr>
        <w:pStyle w:val="3"/>
      </w:pPr>
      <w:bookmarkStart w:id="13" w:name="_Toc8028"/>
      <w:r>
        <w:rPr>
          <w:rFonts w:hint="eastAsia"/>
        </w:rPr>
        <w:t>3</w:t>
      </w:r>
      <w:r>
        <w:t xml:space="preserve">.4 </w:t>
      </w:r>
      <w:r>
        <w:rPr>
          <w:rFonts w:hint="eastAsia"/>
        </w:rPr>
        <w:t>盘活工作方案上传</w:t>
      </w:r>
      <w:bookmarkEnd w:id="13"/>
    </w:p>
    <w:p>
      <w:pPr>
        <w:ind w:firstLine="420" w:firstLineChars="200"/>
        <w:jc w:val="left"/>
      </w:pPr>
      <w:r>
        <w:rPr>
          <w:rFonts w:hint="eastAsia"/>
        </w:rPr>
        <w:t>点击第四个页签【盘活工作方案上传】，将盘活方案传到系统中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上传后，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点击</w:t>
      </w:r>
      <w:r>
        <w:rPr>
          <w:rFonts w:hint="eastAsia"/>
          <w:lang w:val="en-US" w:eastAsia="zh-CN"/>
        </w:rPr>
        <w:t>文件右上角</w:t>
      </w:r>
      <w:r>
        <w:rPr>
          <w:rFonts w:hint="eastAsia"/>
          <w:b/>
          <w:bCs/>
          <w:color w:val="FF0000"/>
        </w:rPr>
        <w:t>×</w:t>
      </w:r>
      <w:r>
        <w:rPr>
          <w:rFonts w:hint="eastAsia"/>
        </w:rPr>
        <w:t>删除文档。</w:t>
      </w:r>
    </w:p>
    <w:p>
      <w:pPr>
        <w:jc w:val="left"/>
      </w:pPr>
      <w:r>
        <w:drawing>
          <wp:inline distT="0" distB="0" distL="0" distR="0">
            <wp:extent cx="5274310" cy="1772285"/>
            <wp:effectExtent l="0" t="0" r="2540" b="0"/>
            <wp:docPr id="21162337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33787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4" w:name="_Toc23792"/>
      <w:r>
        <w:rPr>
          <w:rFonts w:hint="eastAsia"/>
        </w:rPr>
        <w:t>3</w:t>
      </w:r>
      <w:r>
        <w:t xml:space="preserve">.5 </w:t>
      </w:r>
      <w:r>
        <w:rPr>
          <w:rFonts w:hint="eastAsia"/>
        </w:rPr>
        <w:t>主管上报</w:t>
      </w:r>
      <w:bookmarkEnd w:id="14"/>
    </w:p>
    <w:p>
      <w:pPr>
        <w:jc w:val="left"/>
      </w:pPr>
      <w:r>
        <w:rPr>
          <w:rFonts w:hint="eastAsia"/>
        </w:rPr>
        <w:t>检查以下工作:</w:t>
      </w:r>
    </w:p>
    <w:p>
      <w:pPr>
        <w:pStyle w:val="1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【闲置资产清查】菜单，查看本级单位的闲置资产是否填报完成。</w:t>
      </w:r>
    </w:p>
    <w:p>
      <w:pPr>
        <w:pStyle w:val="1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【闲置资产审核】菜单，第一个页签【单位上报情况】中，所属下级单位都已经审核通过，进入到“已确认”状态。</w:t>
      </w:r>
    </w:p>
    <w:p>
      <w:pPr>
        <w:pStyle w:val="1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【闲置资产审核】菜单，第三个页签【本级数据填报】中，填报本单位的联系方式。</w:t>
      </w:r>
    </w:p>
    <w:p>
      <w:pPr>
        <w:pStyle w:val="14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【闲置资产审核】菜单，第四个页签【盘活工作方案上传】中，上传盘活方案。</w:t>
      </w:r>
    </w:p>
    <w:p>
      <w:pPr>
        <w:jc w:val="left"/>
        <w:rPr>
          <w:rFonts w:hint="default"/>
          <w:lang w:val="en-US"/>
        </w:rPr>
      </w:pPr>
      <w:r>
        <w:rPr>
          <w:rFonts w:hint="eastAsia"/>
        </w:rPr>
        <w:t>如上述工作都已完成，可点击右上角的上报按钮，将数据上报到上级部门审核（</w:t>
      </w:r>
      <w:r>
        <w:rPr>
          <w:rFonts w:hint="eastAsia"/>
          <w:color w:val="FF0000"/>
        </w:rPr>
        <w:t>省各主管部门、各市县财政局必须上传</w:t>
      </w:r>
      <w:r>
        <w:rPr>
          <w:rFonts w:hint="eastAsia"/>
        </w:rPr>
        <w:t>）。</w:t>
      </w:r>
    </w:p>
    <w:p>
      <w:pPr>
        <w:jc w:val="left"/>
      </w:pPr>
      <w:r>
        <w:drawing>
          <wp:inline distT="0" distB="0" distL="0" distR="0">
            <wp:extent cx="5274310" cy="1887220"/>
            <wp:effectExtent l="0" t="0" r="2540" b="0"/>
            <wp:docPr id="18709868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86876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</w:pPr>
      <w:bookmarkStart w:id="15" w:name="_Toc16309"/>
      <w:r>
        <w:rPr>
          <w:rFonts w:hint="eastAsia"/>
        </w:rPr>
        <w:t>清查盘活进度月度上报</w:t>
      </w:r>
      <w:bookmarkEnd w:id="15"/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单位完成闲置资产清查后，对于存在待盘活闲置资产的单位，在2023年8月-2024年1月期间，需按月上报清查盘活进度。</w:t>
      </w:r>
    </w:p>
    <w:p>
      <w:pPr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不存在闲置资产的单位、上次上报闲置资产盘活率达到100%的单位无需继续上报该表。</w:t>
      </w:r>
    </w:p>
    <w:p>
      <w:pPr>
        <w:pStyle w:val="3"/>
        <w:rPr>
          <w:rFonts w:ascii="宋体" w:hAnsi="宋体" w:eastAsia="宋体" w:cs="宋体"/>
          <w:color w:val="FF0000"/>
        </w:rPr>
      </w:pPr>
      <w:bookmarkStart w:id="16" w:name="_Toc19667"/>
      <w:r>
        <w:rPr>
          <w:rFonts w:hint="eastAsia"/>
        </w:rPr>
        <w:t>4.1 单位填报</w:t>
      </w:r>
      <w:bookmarkEnd w:id="16"/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登录系统后，点击左侧【资产清查】【清查盘活进度】菜单，进入如下页面。</w:t>
      </w:r>
    </w:p>
    <w:p>
      <w:pPr>
        <w:rPr>
          <w:rFonts w:ascii="宋体" w:hAnsi="宋体" w:eastAsia="宋体" w:cs="宋体"/>
        </w:rPr>
      </w:pPr>
      <w:r>
        <w:drawing>
          <wp:inline distT="0" distB="0" distL="0" distR="0">
            <wp:extent cx="5274310" cy="1266190"/>
            <wp:effectExtent l="0" t="0" r="2540" b="0"/>
            <wp:docPr id="20372103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1032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需上报的表为“低效闲置资产清查及处理工作情况明细表”，该表左侧“低效闲置资产情况”是基于单位闲置资产清查报送的10类闲置资产自动生成，无法增减。单位需在右侧“已盘活情况”填写各条资产的已盘活情况，包括盘活状态（已盘活、部分盘活、未盘活）、实际盘活方式、已盘活数量、已盘活原值/应清金额、节约资金/取得收入/收回金额，如盘活过程中存在特殊情况，可在备注栏说明。</w:t>
      </w:r>
    </w:p>
    <w:p>
      <w:pPr>
        <w:rPr>
          <w:rFonts w:ascii="宋体" w:hAnsi="宋体" w:eastAsia="宋体" w:cs="宋体"/>
        </w:rPr>
      </w:pPr>
    </w:p>
    <w:p>
      <w:pPr>
        <w:pStyle w:val="3"/>
      </w:pPr>
      <w:bookmarkStart w:id="17" w:name="_Toc11622"/>
      <w:r>
        <w:rPr>
          <w:rFonts w:hint="eastAsia"/>
        </w:rPr>
        <w:t>4.2 进度上报</w:t>
      </w:r>
      <w:bookmarkEnd w:id="17"/>
    </w:p>
    <w:p>
      <w:pPr>
        <w:ind w:firstLine="42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闲置资产报表内容填写完成后，可通过右上角“上报”按钮进行报表上报，如单位不存在低效闲置资产或上月上报盘活进度率已达100%，无需继续上报。</w:t>
      </w:r>
    </w:p>
    <w:p>
      <w:pPr>
        <w:ind w:firstLine="42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上报成功后，上报状态中将显示待主管局审核提示，若主管单位未审核，仍可将上报结果撤回，重新调整。</w:t>
      </w:r>
    </w:p>
    <w:p>
      <w:pPr>
        <w:ind w:firstLine="420"/>
        <w:jc w:val="left"/>
      </w:pPr>
      <w:r>
        <w:drawing>
          <wp:inline distT="0" distB="0" distL="114300" distR="114300">
            <wp:extent cx="4524375" cy="1381125"/>
            <wp:effectExtent l="0" t="0" r="9525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</w:pPr>
      <w:bookmarkStart w:id="18" w:name="_Toc15196"/>
      <w:r>
        <w:rPr>
          <w:rFonts w:hint="eastAsia"/>
        </w:rPr>
        <w:t>盘活进度审核</w:t>
      </w:r>
      <w:bookmarkEnd w:id="18"/>
    </w:p>
    <w:p>
      <w:pPr>
        <w:pStyle w:val="3"/>
      </w:pPr>
      <w:bookmarkStart w:id="19" w:name="_Toc27678"/>
      <w:r>
        <w:rPr>
          <w:rFonts w:hint="eastAsia"/>
        </w:rPr>
        <w:t>5</w:t>
      </w:r>
      <w:r>
        <w:t xml:space="preserve">.1 </w:t>
      </w:r>
      <w:r>
        <w:rPr>
          <w:rFonts w:hint="eastAsia"/>
        </w:rPr>
        <w:t>下级单位盘活进展查看</w:t>
      </w:r>
      <w:bookmarkEnd w:id="19"/>
    </w:p>
    <w:p>
      <w:pPr>
        <w:pStyle w:val="14"/>
        <w:ind w:left="420" w:firstLine="0" w:firstLineChars="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登录系统后，点击左侧【资产清查】【盘活进展审核】菜单，进入如下页面。</w:t>
      </w:r>
    </w:p>
    <w:p>
      <w:pPr>
        <w:ind w:firstLine="420"/>
        <w:jc w:val="left"/>
      </w:pPr>
      <w:r>
        <w:rPr>
          <w:rFonts w:hint="eastAsia"/>
        </w:rPr>
        <w:t>点击第一个页签【盘活进展汇总表】，查看当前单位下属所有单位的闲置资产盘活进展情况汇总情况。</w:t>
      </w:r>
    </w:p>
    <w:p>
      <w:pPr>
        <w:ind w:firstLine="420"/>
        <w:jc w:val="left"/>
      </w:pPr>
      <w:r>
        <w:drawing>
          <wp:inline distT="0" distB="0" distL="0" distR="0">
            <wp:extent cx="5274310" cy="1141730"/>
            <wp:effectExtent l="0" t="0" r="2540" b="1270"/>
            <wp:docPr id="7986562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56243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</w:pPr>
      <w:r>
        <w:rPr>
          <w:rFonts w:hint="eastAsia"/>
        </w:rPr>
        <w:t>点击重新汇总按钮，汇总最新的闲置资产进展情况。</w:t>
      </w:r>
    </w:p>
    <w:p>
      <w:pPr>
        <w:pStyle w:val="3"/>
      </w:pPr>
      <w:bookmarkStart w:id="20" w:name="_Toc19676"/>
      <w:r>
        <w:rPr>
          <w:rFonts w:hint="eastAsia"/>
        </w:rPr>
        <w:t>5</w:t>
      </w:r>
      <w:r>
        <w:t xml:space="preserve">.2 </w:t>
      </w:r>
      <w:r>
        <w:rPr>
          <w:rFonts w:hint="eastAsia"/>
        </w:rPr>
        <w:t>主管审核盘活进展</w:t>
      </w:r>
      <w:bookmarkEnd w:id="20"/>
    </w:p>
    <w:p>
      <w:pPr>
        <w:ind w:firstLine="420" w:firstLineChars="200"/>
        <w:jc w:val="left"/>
      </w:pPr>
      <w:r>
        <w:rPr>
          <w:rFonts w:hint="eastAsia"/>
        </w:rPr>
        <w:t>点击第二个页签【单位上报情况】，按月度审核单位盘活进展。</w:t>
      </w:r>
    </w:p>
    <w:p>
      <w:pPr>
        <w:ind w:firstLine="420"/>
        <w:jc w:val="left"/>
      </w:pPr>
      <w:r>
        <w:drawing>
          <wp:inline distT="0" distB="0" distL="0" distR="0">
            <wp:extent cx="5274310" cy="1507490"/>
            <wp:effectExtent l="0" t="0" r="2540" b="0"/>
            <wp:docPr id="987634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34796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21" w:name="_Toc2245"/>
      <w:r>
        <w:rPr>
          <w:rFonts w:hint="eastAsia"/>
        </w:rPr>
        <w:t>5</w:t>
      </w:r>
      <w:r>
        <w:t xml:space="preserve">.3 </w:t>
      </w:r>
      <w:r>
        <w:rPr>
          <w:rFonts w:hint="eastAsia"/>
        </w:rPr>
        <w:t>上传盘活进展总结</w:t>
      </w:r>
      <w:bookmarkEnd w:id="21"/>
    </w:p>
    <w:p>
      <w:pPr>
        <w:ind w:firstLine="420" w:firstLineChars="200"/>
        <w:jc w:val="left"/>
      </w:pPr>
      <w:r>
        <w:rPr>
          <w:rFonts w:hint="eastAsia"/>
        </w:rPr>
        <w:t>点击第三个页签【盘活进展总结上传】，按月度上传单位盘活进展总结。</w:t>
      </w:r>
    </w:p>
    <w:p>
      <w:pPr>
        <w:ind w:firstLine="420"/>
        <w:jc w:val="left"/>
      </w:pPr>
      <w:r>
        <w:drawing>
          <wp:inline distT="0" distB="0" distL="0" distR="0">
            <wp:extent cx="5274310" cy="1610360"/>
            <wp:effectExtent l="0" t="0" r="2540" b="8890"/>
            <wp:docPr id="1068941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41547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22" w:name="_Toc21773"/>
      <w:r>
        <w:rPr>
          <w:rFonts w:hint="eastAsia"/>
        </w:rPr>
        <w:t>5</w:t>
      </w:r>
      <w:r>
        <w:t xml:space="preserve">.4 </w:t>
      </w:r>
      <w:r>
        <w:rPr>
          <w:rFonts w:hint="eastAsia"/>
        </w:rPr>
        <w:t>主管上报</w:t>
      </w:r>
      <w:bookmarkEnd w:id="22"/>
    </w:p>
    <w:p>
      <w:pPr>
        <w:jc w:val="left"/>
      </w:pPr>
      <w:r>
        <w:rPr>
          <w:rFonts w:hint="eastAsia"/>
        </w:rPr>
        <w:t>检查以下工作:</w:t>
      </w:r>
    </w:p>
    <w:p>
      <w:pPr>
        <w:pStyle w:val="14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【清查盘活进度】菜单，查看本级单位的闲置资产盘活进度是否填报完成。</w:t>
      </w:r>
    </w:p>
    <w:p>
      <w:pPr>
        <w:pStyle w:val="14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【</w:t>
      </w:r>
      <w:r>
        <w:rPr>
          <w:rFonts w:hint="eastAsia" w:ascii="宋体" w:hAnsi="宋体" w:eastAsia="宋体" w:cs="宋体"/>
        </w:rPr>
        <w:t>盘活进展审核</w:t>
      </w:r>
      <w:r>
        <w:rPr>
          <w:rFonts w:hint="eastAsia"/>
        </w:rPr>
        <w:t>】菜单，第二个页签【单位上报情况】中，所属下级单位都已经审核通过，进入到“已确认”状态。</w:t>
      </w:r>
    </w:p>
    <w:p>
      <w:pPr>
        <w:pStyle w:val="14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【</w:t>
      </w:r>
      <w:r>
        <w:rPr>
          <w:rFonts w:hint="eastAsia" w:ascii="宋体" w:hAnsi="宋体" w:eastAsia="宋体" w:cs="宋体"/>
        </w:rPr>
        <w:t>盘活进展审核</w:t>
      </w:r>
      <w:r>
        <w:rPr>
          <w:rFonts w:hint="eastAsia"/>
        </w:rPr>
        <w:t>】菜单，第三个页签【盘活进展总结上传】中，上传盘活进展总结。</w:t>
      </w:r>
    </w:p>
    <w:p>
      <w:pPr>
        <w:jc w:val="left"/>
      </w:pPr>
      <w:r>
        <w:rPr>
          <w:rFonts w:hint="eastAsia"/>
        </w:rPr>
        <w:t>如上述工作都已完成，可点击右上角的上报按钮，将数据上报到上级部门审核。</w:t>
      </w:r>
    </w:p>
    <w:p>
      <w:pPr>
        <w:ind w:firstLine="420"/>
        <w:jc w:val="left"/>
      </w:pPr>
      <w:r>
        <w:drawing>
          <wp:inline distT="0" distB="0" distL="0" distR="0">
            <wp:extent cx="5274310" cy="1544320"/>
            <wp:effectExtent l="0" t="0" r="2540" b="0"/>
            <wp:docPr id="1982033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33265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550" w:firstLineChars="3700"/>
      <w:rPr>
        <w:sz w:val="15"/>
        <w:szCs w:val="15"/>
      </w:rPr>
    </w:pPr>
    <w:r>
      <w:rPr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4381500</wp:posOffset>
              </wp:positionH>
              <wp:positionV relativeFrom="paragraph">
                <wp:posOffset>158750</wp:posOffset>
              </wp:positionV>
              <wp:extent cx="883920" cy="18542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5pt;margin-top:12.5pt;height:14.6pt;width:69.6pt;mso-position-horizontal-relative:margin;z-index:251659264;mso-width-relative:page;mso-height-relative:page;" filled="f" stroked="f" coordsize="21600,21600" o:gfxdata="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breq9kAAAAJAQAADwAAAAAAAAABACAAAAAiAAAAZHJzL2Rvd25yZXYueG1s&#10;UEsBAhQAFAAAAAgAh07iQG1u/9QwAgAAVwQAAA4AAAAAAAAAAQAgAAAAK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5"/>
        <w:szCs w:val="15"/>
      </w:rPr>
      <w:t>低效闲置资产清查盘活系统上报操作指南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5D8D4"/>
    <w:multiLevelType w:val="singleLevel"/>
    <w:tmpl w:val="B045D8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044DF0"/>
    <w:multiLevelType w:val="multilevel"/>
    <w:tmpl w:val="07044DF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39941A63"/>
    <w:multiLevelType w:val="multilevel"/>
    <w:tmpl w:val="39941A6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OWNjOTM4YTlhMWVkOTM5ODVkODkzZGRkNDZmMWUifQ=="/>
  </w:docVars>
  <w:rsids>
    <w:rsidRoot w:val="20D94641"/>
    <w:rsid w:val="00055AFA"/>
    <w:rsid w:val="00064C11"/>
    <w:rsid w:val="000669A2"/>
    <w:rsid w:val="000D6B37"/>
    <w:rsid w:val="000F213B"/>
    <w:rsid w:val="00100EC2"/>
    <w:rsid w:val="00104D59"/>
    <w:rsid w:val="001261BE"/>
    <w:rsid w:val="00127B75"/>
    <w:rsid w:val="00154C0B"/>
    <w:rsid w:val="00155045"/>
    <w:rsid w:val="00156126"/>
    <w:rsid w:val="001772B6"/>
    <w:rsid w:val="00193331"/>
    <w:rsid w:val="001A07DC"/>
    <w:rsid w:val="001C34F3"/>
    <w:rsid w:val="001E403B"/>
    <w:rsid w:val="00213F02"/>
    <w:rsid w:val="00215BC8"/>
    <w:rsid w:val="002227F1"/>
    <w:rsid w:val="002C315F"/>
    <w:rsid w:val="002D10AE"/>
    <w:rsid w:val="002D22C3"/>
    <w:rsid w:val="00300E1B"/>
    <w:rsid w:val="00305CFF"/>
    <w:rsid w:val="0034042D"/>
    <w:rsid w:val="003459FB"/>
    <w:rsid w:val="003714BF"/>
    <w:rsid w:val="00382C2F"/>
    <w:rsid w:val="003D53F8"/>
    <w:rsid w:val="003F59AF"/>
    <w:rsid w:val="00421B77"/>
    <w:rsid w:val="004645A1"/>
    <w:rsid w:val="004868F2"/>
    <w:rsid w:val="004925DF"/>
    <w:rsid w:val="004E3F0D"/>
    <w:rsid w:val="004F365D"/>
    <w:rsid w:val="00523894"/>
    <w:rsid w:val="00524C0B"/>
    <w:rsid w:val="005462E3"/>
    <w:rsid w:val="00564C1B"/>
    <w:rsid w:val="00567D7D"/>
    <w:rsid w:val="00580848"/>
    <w:rsid w:val="005C207D"/>
    <w:rsid w:val="005D57AA"/>
    <w:rsid w:val="006070A3"/>
    <w:rsid w:val="006358FD"/>
    <w:rsid w:val="00672622"/>
    <w:rsid w:val="0068491B"/>
    <w:rsid w:val="006856D1"/>
    <w:rsid w:val="006A5C35"/>
    <w:rsid w:val="006B35CE"/>
    <w:rsid w:val="007024F3"/>
    <w:rsid w:val="0073271A"/>
    <w:rsid w:val="007336A2"/>
    <w:rsid w:val="007476BE"/>
    <w:rsid w:val="00765279"/>
    <w:rsid w:val="0079731E"/>
    <w:rsid w:val="007D529E"/>
    <w:rsid w:val="008102AD"/>
    <w:rsid w:val="00812B41"/>
    <w:rsid w:val="00872916"/>
    <w:rsid w:val="00873168"/>
    <w:rsid w:val="008A2757"/>
    <w:rsid w:val="008F5885"/>
    <w:rsid w:val="00915C60"/>
    <w:rsid w:val="00921185"/>
    <w:rsid w:val="00924337"/>
    <w:rsid w:val="00946E62"/>
    <w:rsid w:val="00947876"/>
    <w:rsid w:val="009515AC"/>
    <w:rsid w:val="009741FC"/>
    <w:rsid w:val="009C60E9"/>
    <w:rsid w:val="009F5572"/>
    <w:rsid w:val="00A70013"/>
    <w:rsid w:val="00AA05BF"/>
    <w:rsid w:val="00AC4401"/>
    <w:rsid w:val="00AE6681"/>
    <w:rsid w:val="00AF2091"/>
    <w:rsid w:val="00AF3115"/>
    <w:rsid w:val="00B51EC4"/>
    <w:rsid w:val="00B70D2C"/>
    <w:rsid w:val="00B72DEF"/>
    <w:rsid w:val="00BC5D15"/>
    <w:rsid w:val="00BD0744"/>
    <w:rsid w:val="00BE1B59"/>
    <w:rsid w:val="00C04317"/>
    <w:rsid w:val="00C16110"/>
    <w:rsid w:val="00C53ED2"/>
    <w:rsid w:val="00C65869"/>
    <w:rsid w:val="00C74D11"/>
    <w:rsid w:val="00C9168D"/>
    <w:rsid w:val="00CB61E5"/>
    <w:rsid w:val="00CF02A4"/>
    <w:rsid w:val="00D13184"/>
    <w:rsid w:val="00D313DE"/>
    <w:rsid w:val="00D331D4"/>
    <w:rsid w:val="00D55D91"/>
    <w:rsid w:val="00D65997"/>
    <w:rsid w:val="00D96839"/>
    <w:rsid w:val="00DA18BA"/>
    <w:rsid w:val="00E04F40"/>
    <w:rsid w:val="00E30E72"/>
    <w:rsid w:val="00E61126"/>
    <w:rsid w:val="00E73FAC"/>
    <w:rsid w:val="00E921CB"/>
    <w:rsid w:val="00EB4130"/>
    <w:rsid w:val="00ED75E7"/>
    <w:rsid w:val="00F21337"/>
    <w:rsid w:val="00F214D8"/>
    <w:rsid w:val="00F423C9"/>
    <w:rsid w:val="00F51B1E"/>
    <w:rsid w:val="00F61911"/>
    <w:rsid w:val="00F81F07"/>
    <w:rsid w:val="00FA3173"/>
    <w:rsid w:val="00FA3FE2"/>
    <w:rsid w:val="00FC733C"/>
    <w:rsid w:val="01CF7782"/>
    <w:rsid w:val="05435372"/>
    <w:rsid w:val="063B21EE"/>
    <w:rsid w:val="06AA4ABA"/>
    <w:rsid w:val="07C2333A"/>
    <w:rsid w:val="07CC00D0"/>
    <w:rsid w:val="0A5B1BB3"/>
    <w:rsid w:val="0B64718D"/>
    <w:rsid w:val="0B783C62"/>
    <w:rsid w:val="0E4050B0"/>
    <w:rsid w:val="0FD146C5"/>
    <w:rsid w:val="11B5604C"/>
    <w:rsid w:val="11F36B75"/>
    <w:rsid w:val="12B96010"/>
    <w:rsid w:val="148D1503"/>
    <w:rsid w:val="154862FB"/>
    <w:rsid w:val="18153CE9"/>
    <w:rsid w:val="19BD301B"/>
    <w:rsid w:val="1A74194F"/>
    <w:rsid w:val="1A746C24"/>
    <w:rsid w:val="1E5B50BF"/>
    <w:rsid w:val="20014553"/>
    <w:rsid w:val="20C55B80"/>
    <w:rsid w:val="20D94641"/>
    <w:rsid w:val="217952E8"/>
    <w:rsid w:val="22344322"/>
    <w:rsid w:val="25DB04F1"/>
    <w:rsid w:val="27503A90"/>
    <w:rsid w:val="281F201A"/>
    <w:rsid w:val="289F16DB"/>
    <w:rsid w:val="2A1C0F07"/>
    <w:rsid w:val="2B287437"/>
    <w:rsid w:val="2EDD678B"/>
    <w:rsid w:val="30F93D50"/>
    <w:rsid w:val="341D575E"/>
    <w:rsid w:val="348C4EDB"/>
    <w:rsid w:val="362F76C5"/>
    <w:rsid w:val="36716C99"/>
    <w:rsid w:val="37A0035C"/>
    <w:rsid w:val="3B086617"/>
    <w:rsid w:val="3B554279"/>
    <w:rsid w:val="3BBF5B96"/>
    <w:rsid w:val="3D544D5F"/>
    <w:rsid w:val="3DA908AC"/>
    <w:rsid w:val="3F0D4AC1"/>
    <w:rsid w:val="41847666"/>
    <w:rsid w:val="41C1404D"/>
    <w:rsid w:val="41E53E7C"/>
    <w:rsid w:val="45596713"/>
    <w:rsid w:val="45A81DD1"/>
    <w:rsid w:val="48B872A7"/>
    <w:rsid w:val="4CA961D2"/>
    <w:rsid w:val="4D4E0CBB"/>
    <w:rsid w:val="503C735D"/>
    <w:rsid w:val="503D3113"/>
    <w:rsid w:val="524B7D2C"/>
    <w:rsid w:val="5285315C"/>
    <w:rsid w:val="52E41ECD"/>
    <w:rsid w:val="532742F5"/>
    <w:rsid w:val="53B15C3A"/>
    <w:rsid w:val="53E977FC"/>
    <w:rsid w:val="545B0F04"/>
    <w:rsid w:val="55061CE8"/>
    <w:rsid w:val="577D0987"/>
    <w:rsid w:val="591B0458"/>
    <w:rsid w:val="5B3C46B5"/>
    <w:rsid w:val="5C646D2E"/>
    <w:rsid w:val="619F60CD"/>
    <w:rsid w:val="648C29DD"/>
    <w:rsid w:val="64CF20F6"/>
    <w:rsid w:val="67846C87"/>
    <w:rsid w:val="68F42A0B"/>
    <w:rsid w:val="692073C4"/>
    <w:rsid w:val="6B1E21FC"/>
    <w:rsid w:val="6CA30D1C"/>
    <w:rsid w:val="6DC746EC"/>
    <w:rsid w:val="6E9028F6"/>
    <w:rsid w:val="708F6BDE"/>
    <w:rsid w:val="71381023"/>
    <w:rsid w:val="72DE474E"/>
    <w:rsid w:val="76F50F7B"/>
    <w:rsid w:val="773B4F9A"/>
    <w:rsid w:val="79986919"/>
    <w:rsid w:val="7AE00762"/>
    <w:rsid w:val="7B946707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7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8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9440A-C6C0-493E-968E-7CAAB4F842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2634</Words>
  <Characters>2771</Characters>
  <Lines>24</Lines>
  <Paragraphs>6</Paragraphs>
  <TotalTime>9</TotalTime>
  <ScaleCrop>false</ScaleCrop>
  <LinksUpToDate>false</LinksUpToDate>
  <CharactersWithSpaces>2880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2023-05-07T03:50:00Z</dcterms:created>
  <dc:creator>Zorro</dc:creator>
  <cp:lastModifiedBy>sceanyang</cp:lastModifiedBy>
  <dcterms:modified xsi:type="dcterms:W3CDTF">2023-07-07T09:07:33Z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451227FC94224DB188C0EF47E2B24789_13</vt:lpwstr>
  </property>
</Properties>
</file>