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54597963"/>
      <w:r>
        <w:rPr>
          <w:rFonts w:ascii="Times New Roman" w:hAnsi="Times New Roman" w:eastAsia="方正小标宋简体" w:cs="Times New Roman"/>
          <w:sz w:val="36"/>
          <w:szCs w:val="36"/>
        </w:rPr>
        <w:t>2021</w:t>
      </w:r>
      <w:r>
        <w:rPr>
          <w:rFonts w:hint="eastAsia" w:ascii="Times New Roman" w:hAnsi="Times New Roman" w:eastAsia="方正小标宋简体"/>
          <w:sz w:val="36"/>
          <w:szCs w:val="36"/>
        </w:rPr>
        <w:t>年“领航杯”江苏省信息化教学能手大</w:t>
      </w:r>
      <w:bookmarkStart w:id="1" w:name="_GoBack"/>
      <w:bookmarkEnd w:id="1"/>
      <w:r>
        <w:rPr>
          <w:rFonts w:hint="eastAsia" w:ascii="Times New Roman" w:hAnsi="Times New Roman" w:eastAsia="方正小标宋简体"/>
          <w:sz w:val="36"/>
          <w:szCs w:val="36"/>
        </w:rPr>
        <w:t>赛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评比指标</w:t>
      </w:r>
    </w:p>
    <w:bookmarkEnd w:id="0"/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教学目标符合新课程标准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明确完整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可操作、可检测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体现以学生发展为中心。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教学设计要素完整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结构严谨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重难点突出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活动恰当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技术应用要体现优势。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在教学中突出学生的主体地位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体现新媒体环境下学与教方式的转变。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能够采取多种策略组织教学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教学环节合理、自然、流畅。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教学中重视学生已有的经验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符合幼儿和中小学生的认知特点和规律。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能够将新媒体新技术作为学生学习和认知的工具。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有效解决教学重难点问题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促进师生、生生深层次互动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共享课堂。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巧妙运用技术手段和工具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引导学生开展多种形式的学习。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科学合理安排电子产品使用时长。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教态亲切、自然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语言准确、清晰、生动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书写规范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教学设备操作娴熟。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专业知识扎实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能够准确把握学科的基本特征实施教学。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完成教学目标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不同层次的学生都得到相应提高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获得发展。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课堂教学氛围和谐、民主、向上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学生的情感、行动和思维参与积极、活跃。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个性化教学平台操作方便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效率高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可复制性。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5"/>
    <w:rsid w:val="00830D0D"/>
    <w:rsid w:val="00A61056"/>
    <w:rsid w:val="00E05D75"/>
    <w:rsid w:val="00ED7EA5"/>
    <w:rsid w:val="28C8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4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2021-09-17T01:56:00Z</dcterms:created>
  <dc:creator>高明亚</dc:creator>
  <cp:lastModifiedBy>jtyunfei</cp:lastModifiedBy>
  <cp:lastPrinted>2021-09-17T02:03:00Z</cp:lastPrinted>
  <dcterms:modified xsi:type="dcterms:W3CDTF">2021-09-26T06:40:33Z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