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248D5">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14:paraId="11228AB5">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14:paraId="6E25207A">
      <w:pPr>
        <w:adjustRightInd w:val="0"/>
        <w:snapToGrid w:val="0"/>
        <w:spacing w:line="360" w:lineRule="auto"/>
        <w:jc w:val="center"/>
        <w:rPr>
          <w:rFonts w:hint="eastAsia" w:ascii="宋体" w:hAnsi="宋体" w:eastAsiaTheme="minorEastAsia"/>
          <w:b/>
          <w:spacing w:val="57"/>
          <w:sz w:val="84"/>
          <w:lang w:eastAsia="zh-CN"/>
        </w:rPr>
      </w:pPr>
      <w:r>
        <w:rPr>
          <w:rFonts w:hint="eastAsia" w:ascii="宋体" w:hAnsi="宋体"/>
          <w:b/>
          <w:spacing w:val="57"/>
          <w:sz w:val="84"/>
          <w:szCs w:val="22"/>
        </w:rPr>
        <w:t>施工</w:t>
      </w:r>
      <w:r>
        <w:rPr>
          <w:rFonts w:hint="eastAsia" w:ascii="宋体" w:hAnsi="宋体"/>
          <w:b/>
          <w:spacing w:val="57"/>
          <w:sz w:val="84"/>
        </w:rPr>
        <w:t>招标文件</w:t>
      </w:r>
    </w:p>
    <w:p w14:paraId="20AAD57E">
      <w:pPr>
        <w:pStyle w:val="2"/>
      </w:pPr>
    </w:p>
    <w:p w14:paraId="6799F488">
      <w:pPr>
        <w:spacing w:line="480" w:lineRule="auto"/>
        <w:ind w:right="325" w:rightChars="155" w:firstLine="562" w:firstLineChars="200"/>
        <w:jc w:val="both"/>
        <w:rPr>
          <w:rFonts w:hint="default" w:ascii="宋体" w:hAnsi="宋体"/>
          <w:b/>
          <w:sz w:val="28"/>
          <w:szCs w:val="28"/>
          <w:highlight w:val="none"/>
          <w:u w:val="single"/>
          <w:lang w:val="en-US" w:eastAsia="zh-CN"/>
        </w:rPr>
      </w:pPr>
      <w:r>
        <w:rPr>
          <w:rFonts w:hint="eastAsia" w:ascii="宋体" w:hAnsi="宋体"/>
          <w:b/>
          <w:sz w:val="28"/>
          <w:szCs w:val="28"/>
        </w:rPr>
        <w:t>项目名称：</w:t>
      </w:r>
      <w:r>
        <w:rPr>
          <w:rFonts w:hint="eastAsia" w:ascii="宋体" w:hAnsi="宋体"/>
          <w:b/>
          <w:sz w:val="28"/>
          <w:szCs w:val="28"/>
          <w:highlight w:val="none"/>
          <w:u w:val="single"/>
          <w:lang w:val="en-US" w:eastAsia="zh-CN"/>
        </w:rPr>
        <w:t>常州市金坛新城实验幼儿园岸头佳园分园图书室吊顶修缮工程改造（二次）</w:t>
      </w:r>
      <w:r>
        <w:rPr>
          <w:rFonts w:hint="eastAsia" w:ascii="宋体" w:hAnsi="宋体"/>
          <w:b/>
          <w:sz w:val="28"/>
          <w:szCs w:val="28"/>
          <w:highlight w:val="none"/>
          <w:u w:val="none"/>
          <w:lang w:val="en-US" w:eastAsia="zh-CN"/>
        </w:rPr>
        <w:t xml:space="preserve">   </w:t>
      </w:r>
    </w:p>
    <w:p w14:paraId="70D2EF8C">
      <w:pPr>
        <w:pStyle w:val="2"/>
        <w:rPr>
          <w:highlight w:val="none"/>
        </w:rPr>
      </w:pPr>
    </w:p>
    <w:p w14:paraId="09D27487">
      <w:pPr>
        <w:spacing w:line="480" w:lineRule="auto"/>
        <w:ind w:firstLine="562" w:firstLineChars="200"/>
        <w:rPr>
          <w:rFonts w:ascii="宋体" w:hAnsi="宋体"/>
          <w:b/>
          <w:sz w:val="28"/>
          <w:szCs w:val="28"/>
          <w:highlight w:val="none"/>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 xml:space="preserve">常州市金坛新城实验幼儿园岸头佳园分园          </w:t>
      </w:r>
      <w:r>
        <w:rPr>
          <w:rFonts w:ascii="宋体" w:hAnsi="宋体" w:eastAsia="宋体" w:cs="Times New Roman"/>
          <w:b/>
          <w:bCs/>
          <w:sz w:val="28"/>
          <w:szCs w:val="28"/>
          <w:highlight w:val="none"/>
          <w:u w:val="single"/>
        </w:rPr>
        <w:t xml:space="preserve"> </w:t>
      </w:r>
    </w:p>
    <w:p w14:paraId="1976E8CC">
      <w:pPr>
        <w:spacing w:line="480" w:lineRule="auto"/>
        <w:ind w:firstLine="562" w:firstLineChars="200"/>
        <w:rPr>
          <w:rFonts w:ascii="宋体" w:hAnsi="宋体"/>
          <w:b/>
          <w:sz w:val="28"/>
          <w:szCs w:val="28"/>
        </w:rPr>
      </w:pPr>
    </w:p>
    <w:p w14:paraId="49B2D312">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14:paraId="0310EDEB">
      <w:pPr>
        <w:spacing w:line="480" w:lineRule="auto"/>
        <w:ind w:firstLine="562" w:firstLineChars="200"/>
        <w:rPr>
          <w:rFonts w:ascii="宋体" w:hAnsi="宋体"/>
          <w:b/>
          <w:sz w:val="28"/>
          <w:szCs w:val="28"/>
        </w:rPr>
      </w:pPr>
    </w:p>
    <w:p w14:paraId="1B28D59E">
      <w:pPr>
        <w:spacing w:line="480" w:lineRule="auto"/>
        <w:ind w:firstLine="562" w:firstLineChars="200"/>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江苏嘉丰工程咨询有限公司</w:t>
      </w:r>
      <w:r>
        <w:rPr>
          <w:rFonts w:hint="eastAsia" w:ascii="宋体" w:hAnsi="宋体"/>
          <w:b/>
          <w:sz w:val="28"/>
          <w:szCs w:val="28"/>
          <w:u w:val="single"/>
          <w:lang w:val="en-US" w:eastAsia="zh-CN"/>
        </w:rPr>
        <w:t xml:space="preserve">         </w:t>
      </w:r>
    </w:p>
    <w:p w14:paraId="7B0232E5">
      <w:pPr>
        <w:spacing w:line="480" w:lineRule="auto"/>
        <w:ind w:firstLine="562" w:firstLineChars="200"/>
        <w:rPr>
          <w:rFonts w:ascii="宋体" w:hAnsi="宋体"/>
          <w:b/>
          <w:sz w:val="28"/>
          <w:szCs w:val="28"/>
        </w:rPr>
      </w:pPr>
    </w:p>
    <w:p w14:paraId="1B49D8C5">
      <w:pPr>
        <w:spacing w:line="480" w:lineRule="auto"/>
        <w:ind w:firstLine="562" w:firstLineChars="200"/>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14:paraId="719D4556">
      <w:pPr>
        <w:spacing w:line="480" w:lineRule="auto"/>
        <w:jc w:val="center"/>
        <w:rPr>
          <w:rFonts w:ascii="宋体" w:hAnsi="宋体"/>
          <w:b/>
          <w:sz w:val="28"/>
          <w:szCs w:val="28"/>
        </w:rPr>
      </w:pPr>
    </w:p>
    <w:p w14:paraId="582DDA73">
      <w:pPr>
        <w:spacing w:line="480" w:lineRule="auto"/>
        <w:jc w:val="center"/>
        <w:rPr>
          <w:rFonts w:ascii="宋体" w:hAnsi="宋体"/>
          <w:b/>
          <w:sz w:val="28"/>
          <w:szCs w:val="28"/>
        </w:rPr>
      </w:pPr>
      <w:r>
        <w:rPr>
          <w:rFonts w:hint="eastAsia" w:ascii="宋体" w:hAnsi="宋体"/>
          <w:b/>
          <w:sz w:val="28"/>
          <w:szCs w:val="28"/>
        </w:rPr>
        <w:t>发放时间：</w:t>
      </w:r>
      <w:r>
        <w:rPr>
          <w:rFonts w:hint="eastAsia" w:ascii="宋体" w:hAnsi="宋体"/>
          <w:b/>
          <w:sz w:val="28"/>
          <w:szCs w:val="28"/>
          <w:lang w:eastAsia="zh-CN"/>
        </w:rPr>
        <w:t>2026</w:t>
      </w:r>
      <w:r>
        <w:rPr>
          <w:rFonts w:hint="eastAsia" w:ascii="宋体" w:hAnsi="宋体"/>
          <w:b/>
          <w:sz w:val="28"/>
          <w:szCs w:val="28"/>
        </w:rPr>
        <w:t>年</w:t>
      </w:r>
      <w:r>
        <w:rPr>
          <w:rFonts w:hint="eastAsia" w:ascii="宋体" w:hAnsi="宋体"/>
          <w:b/>
          <w:sz w:val="28"/>
          <w:szCs w:val="28"/>
          <w:lang w:val="en-US" w:eastAsia="zh-CN"/>
        </w:rPr>
        <w:t>7</w:t>
      </w:r>
      <w:r>
        <w:rPr>
          <w:rFonts w:hint="eastAsia" w:ascii="宋体" w:hAnsi="宋体"/>
          <w:b/>
          <w:sz w:val="28"/>
          <w:szCs w:val="28"/>
        </w:rPr>
        <w:t>月</w:t>
      </w:r>
    </w:p>
    <w:p w14:paraId="7820556A">
      <w:pPr>
        <w:spacing w:line="480" w:lineRule="auto"/>
        <w:jc w:val="center"/>
        <w:rPr>
          <w:rFonts w:ascii="宋体" w:hAnsi="宋体"/>
          <w:b/>
          <w:sz w:val="44"/>
        </w:rPr>
      </w:pPr>
    </w:p>
    <w:p w14:paraId="355501DF">
      <w:pPr>
        <w:spacing w:line="480" w:lineRule="auto"/>
        <w:jc w:val="center"/>
        <w:rPr>
          <w:rFonts w:ascii="宋体" w:hAnsi="宋体"/>
          <w:b/>
          <w:sz w:val="44"/>
        </w:rPr>
      </w:pPr>
      <w:r>
        <w:rPr>
          <w:rFonts w:hint="eastAsia" w:ascii="宋体" w:hAnsi="宋体"/>
          <w:b/>
          <w:sz w:val="44"/>
        </w:rPr>
        <w:t>目 录</w:t>
      </w:r>
    </w:p>
    <w:p w14:paraId="53F14C8A">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6B5E96AF">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14:paraId="517C4FB0">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、控制价、编制说明</w:t>
      </w:r>
      <w:r>
        <w:rPr>
          <w:rFonts w:hint="eastAsia" w:ascii="宋体" w:hAnsi="宋体" w:cs="宋体"/>
          <w:snapToGrid w:val="0"/>
          <w:szCs w:val="21"/>
        </w:rPr>
        <w:t>（另附）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14:paraId="38FA23DC">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14:paraId="21049112">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14:paraId="764D0C13">
      <w:pPr>
        <w:spacing w:line="360" w:lineRule="auto"/>
        <w:rPr>
          <w:rFonts w:ascii="宋体" w:hAnsi="宋体"/>
        </w:rPr>
      </w:pPr>
      <w:r>
        <w:rPr>
          <w:rFonts w:hint="eastAsia" w:ascii="宋体" w:hAnsi="宋体" w:cs="宋体"/>
          <w:szCs w:val="21"/>
        </w:rPr>
        <w:fldChar w:fldCharType="end"/>
      </w:r>
    </w:p>
    <w:p w14:paraId="2E34DC88">
      <w:pPr>
        <w:spacing w:line="480" w:lineRule="auto"/>
        <w:ind w:firstLine="3889"/>
        <w:rPr>
          <w:rFonts w:ascii="宋体" w:hAnsi="宋体"/>
          <w:b/>
          <w:sz w:val="44"/>
        </w:rPr>
      </w:pPr>
    </w:p>
    <w:p w14:paraId="6F1181EA">
      <w:pPr>
        <w:tabs>
          <w:tab w:val="left" w:pos="0"/>
          <w:tab w:val="left" w:pos="993"/>
          <w:tab w:val="left" w:pos="1134"/>
        </w:tabs>
        <w:adjustRightInd w:val="0"/>
        <w:snapToGrid w:val="0"/>
        <w:spacing w:line="480" w:lineRule="auto"/>
        <w:rPr>
          <w:rFonts w:ascii="宋体" w:hAnsi="宋体"/>
          <w:snapToGrid w:val="0"/>
          <w:sz w:val="28"/>
          <w:szCs w:val="28"/>
        </w:rPr>
        <w:sectPr>
          <w:headerReference r:id="rId3" w:type="default"/>
          <w:footerReference r:id="rId4" w:type="even"/>
          <w:pgSz w:w="11907" w:h="16840"/>
          <w:pgMar w:top="1440" w:right="1800" w:bottom="1440" w:left="1800" w:header="567" w:footer="567" w:gutter="0"/>
          <w:pgNumType w:start="1"/>
          <w:cols w:space="720" w:num="1"/>
          <w:titlePg/>
          <w:docGrid w:linePitch="272" w:charSpace="0"/>
        </w:sectPr>
      </w:pPr>
    </w:p>
    <w:p w14:paraId="5B51680D">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24890"/>
      <w:bookmarkStart w:id="2" w:name="_Toc6959"/>
      <w:bookmarkStart w:id="3" w:name="_Toc30588"/>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14:paraId="7D47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A870046">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14:paraId="6043BD37">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eastAsia="宋体" w:cs="宋体"/>
                <w:sz w:val="21"/>
                <w:szCs w:val="21"/>
                <w:lang w:val="en-US" w:eastAsia="zh-CN"/>
              </w:rPr>
              <w:t>常州市金坛新城实验幼儿园岸头佳园分园图书室吊顶修缮工程改造（二次）</w:t>
            </w:r>
          </w:p>
        </w:tc>
      </w:tr>
      <w:tr w14:paraId="7234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8F2C920">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14:paraId="15467E55">
            <w:pPr>
              <w:adjustRightInd w:val="0"/>
              <w:snapToGrid w:val="0"/>
              <w:spacing w:line="400" w:lineRule="exact"/>
              <w:jc w:val="center"/>
              <w:rPr>
                <w:rFonts w:hint="eastAsia" w:ascii="宋体" w:hAnsi="宋体" w:eastAsia="宋体" w:cs="宋体"/>
                <w:snapToGrid w:val="0"/>
                <w:szCs w:val="21"/>
                <w:lang w:eastAsia="zh-CN"/>
              </w:rPr>
            </w:pPr>
            <w:r>
              <w:rPr>
                <w:rFonts w:hint="eastAsia" w:cs="宋体"/>
                <w:sz w:val="21"/>
                <w:szCs w:val="21"/>
                <w:lang w:val="en-US" w:eastAsia="zh-CN"/>
              </w:rPr>
              <w:t>常州市金坛新城实验幼儿园岸头佳园分园</w:t>
            </w:r>
          </w:p>
        </w:tc>
      </w:tr>
      <w:tr w14:paraId="33A7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14:paraId="653BE665">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14:paraId="24F5BF6A">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熊女士</w:t>
            </w:r>
          </w:p>
        </w:tc>
        <w:tc>
          <w:tcPr>
            <w:tcW w:w="2266" w:type="dxa"/>
            <w:vAlign w:val="center"/>
          </w:tcPr>
          <w:p w14:paraId="68607045">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联系电话</w:t>
            </w:r>
          </w:p>
        </w:tc>
        <w:tc>
          <w:tcPr>
            <w:tcW w:w="2733" w:type="dxa"/>
            <w:vAlign w:val="center"/>
          </w:tcPr>
          <w:p w14:paraId="2F74C6F5">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0519-82892989</w:t>
            </w:r>
          </w:p>
        </w:tc>
      </w:tr>
      <w:tr w14:paraId="5929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4936B61">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14:paraId="1DF5B154">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公开招标</w:t>
            </w:r>
          </w:p>
        </w:tc>
      </w:tr>
      <w:tr w14:paraId="2B04A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CAA7849">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14:paraId="2C21CA56">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招标清单、控制价及编制说明等包括的全部内容</w:t>
            </w:r>
          </w:p>
        </w:tc>
      </w:tr>
      <w:tr w14:paraId="787BF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2C44049">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14:paraId="0209623A">
            <w:pPr>
              <w:adjustRightInd w:val="0"/>
              <w:snapToGrid w:val="0"/>
              <w:spacing w:line="400" w:lineRule="exact"/>
              <w:jc w:val="center"/>
              <w:rPr>
                <w:rFonts w:hint="eastAsia" w:ascii="宋体" w:hAnsi="宋体" w:cs="宋体" w:eastAsiaTheme="minorEastAsia"/>
                <w:snapToGrid w:val="0"/>
                <w:color w:val="auto"/>
                <w:szCs w:val="21"/>
                <w:lang w:eastAsia="zh-CN"/>
              </w:rPr>
            </w:pPr>
            <w:r>
              <w:rPr>
                <w:rFonts w:hint="eastAsia" w:ascii="宋体" w:hAnsi="宋体" w:cs="宋体"/>
                <w:snapToGrid w:val="0"/>
                <w:color w:val="0000FF"/>
                <w:szCs w:val="21"/>
                <w:lang w:val="en-US" w:eastAsia="zh-CN"/>
              </w:rPr>
              <w:t>20日历天（以开工令为准）</w:t>
            </w:r>
          </w:p>
        </w:tc>
      </w:tr>
      <w:tr w14:paraId="70E9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6A68753">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14:paraId="62E9B8CB">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合格</w:t>
            </w:r>
          </w:p>
        </w:tc>
      </w:tr>
      <w:tr w14:paraId="3000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36FCD3D">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14:paraId="077F0308">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各投标单位也可自行踏勘</w:t>
            </w:r>
          </w:p>
        </w:tc>
      </w:tr>
      <w:tr w14:paraId="3787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8359896">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14:paraId="1D8E9161">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投标截止日后</w:t>
            </w:r>
            <w:r>
              <w:rPr>
                <w:rFonts w:hint="eastAsia" w:ascii="宋体" w:hAnsi="宋体" w:cs="宋体"/>
                <w:snapToGrid w:val="0"/>
                <w:color w:val="auto"/>
                <w:szCs w:val="21"/>
                <w:u w:val="single"/>
              </w:rPr>
              <w:t>45</w:t>
            </w:r>
            <w:r>
              <w:rPr>
                <w:rFonts w:hint="eastAsia" w:ascii="宋体" w:hAnsi="宋体" w:cs="宋体"/>
                <w:snapToGrid w:val="0"/>
                <w:color w:val="auto"/>
                <w:szCs w:val="21"/>
              </w:rPr>
              <w:t>日内有效</w:t>
            </w:r>
          </w:p>
        </w:tc>
      </w:tr>
      <w:tr w14:paraId="6D612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7434BDFA">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14:paraId="482CF1BF">
            <w:pPr>
              <w:adjustRightInd w:val="0"/>
              <w:snapToGrid w:val="0"/>
              <w:spacing w:line="400" w:lineRule="exact"/>
              <w:rPr>
                <w:rFonts w:ascii="宋体" w:hAnsi="宋体" w:cs="宋体"/>
                <w:bCs/>
                <w:snapToGrid w:val="0"/>
                <w:color w:val="auto"/>
                <w:szCs w:val="21"/>
              </w:rPr>
            </w:pPr>
            <w:r>
              <w:rPr>
                <w:rFonts w:hint="eastAsia" w:ascii="宋体" w:hAnsi="宋体" w:cs="宋体"/>
                <w:bCs/>
                <w:snapToGrid w:val="0"/>
                <w:color w:val="auto"/>
                <w:szCs w:val="21"/>
              </w:rPr>
              <w:t>投标文件：一套正本，二套副本（正、副本应分开装订、密封、标识且不得活页装订，否则招标人将拒绝其投标）。</w:t>
            </w:r>
          </w:p>
        </w:tc>
      </w:tr>
      <w:tr w14:paraId="50EA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89B399C">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14:paraId="5E5BB9C5">
            <w:pPr>
              <w:pStyle w:val="12"/>
              <w:spacing w:before="0" w:beforeAutospacing="0" w:after="0" w:afterAutospacing="0" w:line="420" w:lineRule="exact"/>
              <w:ind w:firstLine="2940" w:firstLineChars="1400"/>
              <w:rPr>
                <w:rFonts w:cs="宋体"/>
                <w:bCs/>
                <w:snapToGrid w:val="0"/>
                <w:color w:val="auto"/>
                <w:sz w:val="21"/>
                <w:szCs w:val="21"/>
                <w:highlight w:val="none"/>
              </w:rPr>
            </w:pPr>
            <w:r>
              <w:rPr>
                <w:rFonts w:hint="eastAsia" w:cs="宋体"/>
                <w:bCs/>
                <w:snapToGrid w:val="0"/>
                <w:color w:val="auto"/>
                <w:sz w:val="21"/>
                <w:szCs w:val="21"/>
                <w:highlight w:val="none"/>
              </w:rPr>
              <w:t>详见公告</w:t>
            </w:r>
          </w:p>
        </w:tc>
      </w:tr>
      <w:tr w14:paraId="2135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B225561">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投标文件递交地点及截至时间</w:t>
            </w:r>
          </w:p>
        </w:tc>
        <w:tc>
          <w:tcPr>
            <w:tcW w:w="7766" w:type="dxa"/>
            <w:gridSpan w:val="3"/>
            <w:vAlign w:val="center"/>
          </w:tcPr>
          <w:p w14:paraId="7CC95CC9">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接收人：江苏嘉丰工程咨询有限公司</w:t>
            </w:r>
          </w:p>
          <w:p w14:paraId="3DC20D4B">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点：江苏嘉丰工程咨询有限公司开标室（金坛区</w:t>
            </w:r>
            <w:r>
              <w:rPr>
                <w:rFonts w:hint="eastAsia" w:ascii="宋体" w:hAnsi="宋体" w:eastAsia="宋体" w:cs="宋体"/>
                <w:color w:val="auto"/>
                <w:sz w:val="21"/>
                <w:szCs w:val="21"/>
                <w:highlight w:val="none"/>
                <w:shd w:val="clear" w:color="auto" w:fill="FFFFFF"/>
                <w:lang w:val="en-US" w:eastAsia="zh-CN"/>
              </w:rPr>
              <w:t>筑立方大厦13楼</w:t>
            </w:r>
            <w:r>
              <w:rPr>
                <w:rFonts w:hint="eastAsia" w:ascii="宋体" w:hAnsi="宋体" w:eastAsia="宋体" w:cs="宋体"/>
                <w:color w:val="auto"/>
                <w:sz w:val="21"/>
                <w:szCs w:val="21"/>
                <w:highlight w:val="none"/>
                <w:shd w:val="clear" w:color="auto" w:fill="FFFFFF"/>
                <w:lang w:eastAsia="zh-CN"/>
              </w:rPr>
              <w:t>）。</w:t>
            </w:r>
          </w:p>
          <w:p w14:paraId="1F13BEC3">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eastAsia="宋体" w:cs="宋体"/>
                <w:color w:val="0000FF"/>
                <w:sz w:val="21"/>
                <w:szCs w:val="21"/>
                <w:highlight w:val="none"/>
                <w:shd w:val="clear" w:color="auto" w:fill="FFFFFF"/>
                <w:lang w:eastAsia="zh-CN"/>
              </w:rPr>
              <w:t>2026年</w:t>
            </w:r>
            <w:r>
              <w:rPr>
                <w:rFonts w:hint="eastAsia" w:ascii="宋体" w:hAnsi="宋体" w:eastAsia="宋体"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20</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9:30</w:t>
            </w:r>
            <w:r>
              <w:rPr>
                <w:rFonts w:hint="eastAsia" w:ascii="宋体" w:hAnsi="宋体" w:eastAsia="宋体" w:cs="宋体"/>
                <w:color w:val="auto"/>
                <w:sz w:val="21"/>
                <w:szCs w:val="21"/>
                <w:highlight w:val="none"/>
                <w:shd w:val="clear" w:color="auto" w:fill="FFFFFF"/>
                <w:lang w:eastAsia="zh-CN"/>
              </w:rPr>
              <w:t>。</w:t>
            </w:r>
          </w:p>
        </w:tc>
      </w:tr>
      <w:tr w14:paraId="1A80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14:paraId="04803EC6">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开标时间、地点</w:t>
            </w:r>
          </w:p>
        </w:tc>
        <w:tc>
          <w:tcPr>
            <w:tcW w:w="7766" w:type="dxa"/>
            <w:gridSpan w:val="3"/>
            <w:vAlign w:val="center"/>
          </w:tcPr>
          <w:p w14:paraId="01925F35">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eastAsia="宋体" w:cs="宋体"/>
                <w:color w:val="0000FF"/>
                <w:sz w:val="21"/>
                <w:szCs w:val="21"/>
                <w:highlight w:val="none"/>
                <w:shd w:val="clear" w:color="auto" w:fill="FFFFFF"/>
                <w:lang w:eastAsia="zh-CN"/>
              </w:rPr>
              <w:t>2026年</w:t>
            </w:r>
            <w:r>
              <w:rPr>
                <w:rFonts w:hint="eastAsia" w:ascii="宋体" w:hAnsi="宋体" w:eastAsia="宋体"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20</w:t>
            </w:r>
            <w:bookmarkStart w:id="610" w:name="_GoBack"/>
            <w:bookmarkEnd w:id="610"/>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9:30</w:t>
            </w:r>
            <w:r>
              <w:rPr>
                <w:rFonts w:hint="eastAsia" w:ascii="宋体" w:hAnsi="宋体" w:eastAsia="宋体" w:cs="宋体"/>
                <w:color w:val="auto"/>
                <w:sz w:val="21"/>
                <w:szCs w:val="21"/>
                <w:highlight w:val="none"/>
                <w:shd w:val="clear" w:color="auto" w:fill="FFFFFF"/>
                <w:lang w:eastAsia="zh-CN"/>
              </w:rPr>
              <w:t>。</w:t>
            </w:r>
          </w:p>
          <w:p w14:paraId="4F1D8D1A">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点：江苏嘉丰工程咨询有限公司开标室（金坛区</w:t>
            </w:r>
            <w:r>
              <w:rPr>
                <w:rFonts w:hint="eastAsia" w:ascii="宋体" w:hAnsi="宋体" w:eastAsia="宋体" w:cs="宋体"/>
                <w:color w:val="auto"/>
                <w:sz w:val="21"/>
                <w:szCs w:val="21"/>
                <w:highlight w:val="none"/>
                <w:shd w:val="clear" w:color="auto" w:fill="FFFFFF"/>
                <w:lang w:val="en-US" w:eastAsia="zh-CN"/>
              </w:rPr>
              <w:t>筑立方大厦13楼</w:t>
            </w:r>
            <w:r>
              <w:rPr>
                <w:rFonts w:hint="eastAsia" w:ascii="宋体" w:hAnsi="宋体" w:eastAsia="宋体" w:cs="宋体"/>
                <w:color w:val="auto"/>
                <w:sz w:val="21"/>
                <w:szCs w:val="21"/>
                <w:highlight w:val="none"/>
                <w:shd w:val="clear" w:color="auto" w:fill="FFFFFF"/>
                <w:lang w:eastAsia="zh-CN"/>
              </w:rPr>
              <w:t>）。</w:t>
            </w:r>
          </w:p>
        </w:tc>
      </w:tr>
      <w:tr w14:paraId="3CD6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43" w:type="dxa"/>
            <w:vAlign w:val="center"/>
          </w:tcPr>
          <w:p w14:paraId="227E6945">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控制价</w:t>
            </w:r>
          </w:p>
        </w:tc>
        <w:tc>
          <w:tcPr>
            <w:tcW w:w="7766" w:type="dxa"/>
            <w:gridSpan w:val="3"/>
          </w:tcPr>
          <w:p w14:paraId="35537356">
            <w:pPr>
              <w:keepNext w:val="0"/>
              <w:keepLines w:val="0"/>
              <w:pageBreakBefore w:val="0"/>
              <w:widowControl/>
              <w:suppressLineNumbers w:val="0"/>
              <w:kinsoku/>
              <w:wordWrap/>
              <w:overflowPunct/>
              <w:topLinePunct w:val="0"/>
              <w:autoSpaceDE/>
              <w:autoSpaceDN/>
              <w:bidi w:val="0"/>
              <w:adjustRightInd/>
              <w:snapToGrid/>
              <w:spacing w:before="137" w:beforeLines="50" w:line="360" w:lineRule="auto"/>
              <w:jc w:val="left"/>
              <w:textAlignment w:val="auto"/>
              <w:rPr>
                <w:rFonts w:ascii="宋体" w:hAnsi="宋体" w:cs="宋体"/>
                <w:snapToGrid w:val="0"/>
                <w:color w:val="auto"/>
                <w:szCs w:val="21"/>
                <w:highlight w:val="none"/>
              </w:rPr>
            </w:pPr>
            <w:r>
              <w:rPr>
                <w:rFonts w:hint="eastAsia" w:ascii="宋体" w:hAnsi="宋体" w:cstheme="minorBidi"/>
                <w:b w:val="0"/>
                <w:snapToGrid/>
                <w:color w:val="0000FF"/>
                <w:kern w:val="2"/>
                <w:sz w:val="21"/>
                <w:szCs w:val="21"/>
                <w:highlight w:val="none"/>
                <w:lang w:val="en-US" w:eastAsia="zh-CN" w:bidi="ar-SA"/>
              </w:rPr>
              <w:t>29011.56元</w:t>
            </w:r>
            <w:r>
              <w:rPr>
                <w:rFonts w:hint="eastAsia" w:ascii="宋体" w:hAnsi="宋体" w:eastAsiaTheme="minorEastAsia" w:cstheme="minorBidi"/>
                <w:b w:val="0"/>
                <w:snapToGrid/>
                <w:kern w:val="2"/>
                <w:sz w:val="21"/>
                <w:szCs w:val="21"/>
                <w:highlight w:val="none"/>
                <w:lang w:val="en-US" w:eastAsia="zh-CN" w:bidi="ar-SA"/>
              </w:rPr>
              <w:t xml:space="preserve"> ，</w:t>
            </w:r>
            <w:r>
              <w:rPr>
                <w:rFonts w:hint="eastAsia" w:ascii="宋体" w:hAnsi="宋体" w:cs="宋体"/>
                <w:szCs w:val="21"/>
                <w:lang w:val="en-US" w:eastAsia="zh-CN"/>
              </w:rPr>
              <w:t>投标报价超过控制价或任一项目综合单价为0、负数、超过控制单价或缺项者均作无效标处理</w:t>
            </w:r>
          </w:p>
        </w:tc>
      </w:tr>
      <w:tr w14:paraId="1B82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C990495">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14:paraId="22E0E543">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14:paraId="54E4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14:paraId="7EDD62D0">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14:paraId="380A8D21">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FF"/>
                <w:sz w:val="21"/>
                <w:szCs w:val="21"/>
                <w:highlight w:val="none"/>
                <w:lang w:val="en-US" w:eastAsia="zh-CN"/>
              </w:rPr>
              <w:t>合同价款的</w:t>
            </w:r>
            <w:r>
              <w:rPr>
                <w:rFonts w:hint="eastAsia" w:ascii="宋体" w:hAnsi="宋体" w:eastAsia="宋体" w:cs="宋体"/>
                <w:color w:val="0000FF"/>
                <w:sz w:val="21"/>
                <w:szCs w:val="21"/>
                <w:highlight w:val="none"/>
                <w:u w:val="none"/>
                <w:lang w:val="en-US" w:eastAsia="zh-CN"/>
              </w:rPr>
              <w:t>10%（现金）</w:t>
            </w:r>
            <w:r>
              <w:rPr>
                <w:rFonts w:hint="eastAsia" w:ascii="宋体" w:hAnsi="宋体" w:eastAsia="宋体" w:cs="宋体"/>
                <w:color w:val="0000FF"/>
                <w:sz w:val="21"/>
                <w:szCs w:val="21"/>
                <w:highlight w:val="none"/>
                <w:lang w:val="en-US" w:eastAsia="zh-CN"/>
              </w:rPr>
              <w:t>，</w:t>
            </w:r>
            <w:r>
              <w:rPr>
                <w:rFonts w:hint="eastAsia" w:ascii="宋体" w:hAnsi="宋体" w:eastAsia="宋体" w:cs="宋体"/>
                <w:color w:val="auto"/>
                <w:sz w:val="21"/>
                <w:szCs w:val="21"/>
                <w:highlight w:val="none"/>
                <w:lang w:val="en-US" w:eastAsia="zh-CN"/>
              </w:rPr>
              <w:t>合同签订前交至甲方指定账户，工程竣工验收合格后一次性退还（不计息）。</w:t>
            </w:r>
          </w:p>
          <w:p w14:paraId="40DBABB1">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eastAsia="宋体" w:cs="宋体"/>
                <w:color w:val="auto"/>
                <w:sz w:val="21"/>
                <w:szCs w:val="21"/>
                <w:highlight w:val="none"/>
                <w:lang w:val="en-US" w:eastAsia="zh-CN"/>
              </w:rPr>
              <w:t>中标供应商必须将履约保证金从公司基本账户按规定方式和时间缴至指定账户并到账，拒绝以其他方式缴纳</w:t>
            </w:r>
            <w:r>
              <w:rPr>
                <w:rFonts w:hint="eastAsia" w:ascii="宋体" w:hAnsi="宋体" w:eastAsia="宋体" w:cs="宋体"/>
                <w:b/>
                <w:bCs/>
                <w:color w:val="auto"/>
                <w:sz w:val="21"/>
                <w:szCs w:val="21"/>
                <w:highlight w:val="none"/>
                <w:lang w:val="en-US" w:eastAsia="zh-CN"/>
              </w:rPr>
              <w:t>（请备注工程名称）</w:t>
            </w:r>
            <w:r>
              <w:rPr>
                <w:rFonts w:hint="eastAsia" w:ascii="宋体" w:hAnsi="宋体" w:eastAsia="宋体" w:cs="宋体"/>
                <w:color w:val="auto"/>
                <w:sz w:val="21"/>
                <w:szCs w:val="21"/>
                <w:highlight w:val="none"/>
                <w:lang w:val="en-US" w:eastAsia="zh-CN"/>
              </w:rPr>
              <w:t>。</w:t>
            </w:r>
          </w:p>
        </w:tc>
      </w:tr>
      <w:tr w14:paraId="2E0A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4E56A97">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14:paraId="4FBC7FE0">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1、如法定代表人出席开标会，需手持法定代表人资格证明书原件（除</w:t>
            </w:r>
            <w:bookmarkStart w:id="6" w:name="OLE_LINK1"/>
            <w:r>
              <w:rPr>
                <w:rFonts w:hint="eastAsia" w:ascii="宋体" w:hAnsi="宋体" w:eastAsia="宋体" w:cs="宋体"/>
                <w:color w:val="auto"/>
                <w:sz w:val="21"/>
                <w:szCs w:val="21"/>
                <w:highlight w:val="none"/>
                <w:lang w:val="en-US" w:eastAsia="zh-CN"/>
              </w:rPr>
              <w:t>资审文件及</w:t>
            </w:r>
            <w:bookmarkEnd w:id="6"/>
            <w:r>
              <w:rPr>
                <w:rFonts w:hint="eastAsia" w:ascii="宋体" w:hAnsi="宋体" w:eastAsia="宋体" w:cs="宋体"/>
                <w:color w:val="auto"/>
                <w:sz w:val="21"/>
                <w:szCs w:val="21"/>
                <w:highlight w:val="none"/>
                <w:lang w:val="en-US" w:eastAsia="zh-CN"/>
              </w:rPr>
              <w:t>投标书中另外单独手持一份）、本人第二代身份证原件及投标保证金出席开标会，否则招标人将拒绝其投标；</w:t>
            </w:r>
          </w:p>
          <w:p w14:paraId="5D882B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2、如委托代理人参加开标会，需手持法定代表人授权委托书原件（除资审文件及投标书中另外单独手持一份）、本人第二代身份证原件及投标保证金准时参加开标会议，否则招标人将拒绝其投标。</w:t>
            </w:r>
          </w:p>
          <w:p w14:paraId="01C96D74">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3、以上参加人员在开标时间截止时有下列情形之一的，视为自动放弃投标处理，招标人不予受理：</w:t>
            </w:r>
          </w:p>
          <w:p w14:paraId="294ABFCE">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1）未到达开标现场的；</w:t>
            </w:r>
          </w:p>
          <w:p w14:paraId="59391D7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2）未参加投标签到的；</w:t>
            </w:r>
          </w:p>
          <w:p w14:paraId="6D3E0ABF">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3）身份核验时未能提供身份证明、授权委托书、投标保证金等相关材料的。</w:t>
            </w:r>
          </w:p>
          <w:p w14:paraId="53C764B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14:paraId="5FA8B1DD">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5、所有垃圾清理外运：</w:t>
            </w:r>
            <w:r>
              <w:rPr>
                <w:rFonts w:hint="eastAsia" w:ascii="宋体" w:hAnsi="宋体" w:eastAsia="宋体" w:cs="宋体"/>
                <w:color w:val="auto"/>
                <w:sz w:val="21"/>
                <w:szCs w:val="21"/>
              </w:rPr>
              <w:t>建筑垃圾处理执行《常州市金坛区建筑垃圾收集运输和处置管理规定》（详见坛政规【2024】3号文）。 施工现场建筑垃圾管理的相关措施须符合《关于进一步加强建筑垃圾管理工作的实施方案》（常政办发〔2024〕17号）文件要求，相关费用包含在投标报价中。</w:t>
            </w:r>
          </w:p>
          <w:p w14:paraId="54744EE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6、施工过程中扬尘、噪音控制等需符合相关文件规定费用各投标单位在投标报价中自行考虑，不再另行结算。</w:t>
            </w:r>
          </w:p>
          <w:p w14:paraId="4CBA19E1">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7、本项目服务费为1000元，由中标单位在领取中标通知书时，以现金形式一次性支付给招标代理单位，各投标单位在投标报价时综合考虑。</w:t>
            </w:r>
          </w:p>
          <w:p w14:paraId="127D7965">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eastAsia="宋体" w:cs="宋体"/>
                <w:color w:val="auto"/>
                <w:sz w:val="21"/>
                <w:szCs w:val="21"/>
                <w:highlight w:val="none"/>
                <w:lang w:val="en-US" w:eastAsia="zh-CN"/>
              </w:rPr>
              <w:t>8、各投标单位投标时报价不得超过招标控制总价；各分部分项工程综合单价均不得超过</w:t>
            </w:r>
            <w:r>
              <w:rPr>
                <w:rFonts w:hint="eastAsia" w:ascii="宋体" w:hAnsi="宋体" w:eastAsia="宋体" w:cs="宋体"/>
                <w:sz w:val="21"/>
                <w:szCs w:val="21"/>
                <w:highlight w:val="none"/>
                <w:lang w:val="en-US" w:eastAsia="zh-CN"/>
              </w:rPr>
              <w:t>最高限价</w:t>
            </w:r>
            <w:r>
              <w:rPr>
                <w:rFonts w:hint="eastAsia" w:ascii="宋体" w:hAnsi="宋体" w:eastAsia="宋体" w:cs="宋体"/>
                <w:color w:val="auto"/>
                <w:sz w:val="21"/>
                <w:szCs w:val="21"/>
                <w:highlight w:val="none"/>
                <w:lang w:val="en-US" w:eastAsia="zh-CN"/>
              </w:rPr>
              <w:t>中对应综合单价。</w:t>
            </w:r>
          </w:p>
        </w:tc>
      </w:tr>
    </w:tbl>
    <w:p w14:paraId="4E67902C">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14:paraId="5D2C7D9B">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14:paraId="58CE6857">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14:paraId="527FCDA4">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14:paraId="4CDA0D50">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14:paraId="79C2B4C3">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14:paraId="18EDAB84">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14:paraId="0D2380A7">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14:paraId="1A65FDD4">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w:t>
      </w:r>
      <w:r>
        <w:rPr>
          <w:rFonts w:hint="eastAsia" w:ascii="宋体" w:hAnsi="宋体" w:cs="宋体"/>
          <w:snapToGrid w:val="0"/>
          <w:szCs w:val="21"/>
          <w:u w:val="single"/>
          <w:lang w:eastAsia="zh-CN"/>
        </w:rPr>
        <w:t>财政</w:t>
      </w:r>
      <w:r>
        <w:rPr>
          <w:rFonts w:hint="eastAsia" w:ascii="宋体" w:hAnsi="宋体" w:cs="宋体"/>
          <w:snapToGrid w:val="0"/>
          <w:szCs w:val="21"/>
          <w:u w:val="single"/>
        </w:rPr>
        <w:t xml:space="preserve">           </w:t>
      </w:r>
      <w:r>
        <w:rPr>
          <w:rFonts w:hint="eastAsia" w:ascii="宋体" w:hAnsi="宋体" w:cs="宋体"/>
          <w:snapToGrid w:val="0"/>
          <w:szCs w:val="21"/>
        </w:rPr>
        <w:t>。</w:t>
      </w:r>
    </w:p>
    <w:p w14:paraId="75EF5ACA">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14:paraId="0549F0C6">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14:paraId="77444413">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14:paraId="023C0267">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14:paraId="7B035E9B">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14:paraId="1A450FFF">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14:paraId="342519BD">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14:paraId="3F23728A">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14:paraId="58174A89">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14:paraId="422820D9">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14:paraId="52E69AE5">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14:paraId="638B6772">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14:paraId="5AC6883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14:paraId="20350A9F">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14:paraId="0498DB35">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14:paraId="62BB2A13">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14:paraId="3BE2E292">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14:paraId="131E03ED">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14:paraId="506B8EA3">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14:paraId="5748015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14:paraId="416F5CB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14:paraId="3D4F0FEE">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14:paraId="72CACFDB">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14:paraId="620F21CE">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14:paraId="4B2F8296">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14:paraId="22AB1E3A">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14:paraId="1D4850E7">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14:paraId="5BE3CBDA">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14:paraId="1FFA7DFE">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14:paraId="390C3833">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4CE393E2">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14:paraId="0BBA7F4F">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14:paraId="57EBAA2C">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14:paraId="4FBE59FC">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14:paraId="776F9CE1">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14:paraId="69A97763">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14:paraId="1E0B118F">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14:paraId="571E53B0">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14:paraId="142E2648">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14:paraId="36CD0A6C">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14:paraId="1D78A7C1">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14:paraId="5564E092">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14:paraId="2DA746D7">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14:paraId="68838FF0">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14:paraId="3D09320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14:paraId="7451C619">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14:paraId="7CAE95D6">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14:paraId="5B82AF38">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14:paraId="66B71982">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14:paraId="7FD874C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14:paraId="29048225">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14:paraId="70ED91BE">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14:paraId="505523E8">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14:paraId="0146B60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14:paraId="1D37C966">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14:paraId="115803B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14:paraId="7C05BC09">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w:t>
      </w:r>
      <w:r>
        <w:rPr>
          <w:rFonts w:hint="eastAsia" w:ascii="宋体" w:hAnsi="宋体" w:cs="宋体"/>
          <w:bCs/>
          <w:snapToGrid w:val="0"/>
          <w:szCs w:val="21"/>
          <w:lang w:val="en-US" w:eastAsia="zh-CN"/>
        </w:rPr>
        <w:t>等工程量清单要求的所有表式</w:t>
      </w:r>
      <w:r>
        <w:rPr>
          <w:rFonts w:hint="eastAsia" w:ascii="宋体" w:hAnsi="宋体" w:cs="宋体"/>
          <w:bCs/>
          <w:snapToGrid w:val="0"/>
          <w:szCs w:val="21"/>
        </w:rPr>
        <w:t>的投标文件一起装袋、密封并标志后在开标前提交</w:t>
      </w:r>
      <w:r>
        <w:rPr>
          <w:rFonts w:hint="eastAsia" w:ascii="宋体" w:hAnsi="宋体" w:cs="宋体"/>
          <w:bCs/>
          <w:snapToGrid w:val="0"/>
          <w:szCs w:val="21"/>
          <w:lang w:eastAsia="zh-CN"/>
        </w:rPr>
        <w:t>，</w:t>
      </w:r>
      <w:r>
        <w:rPr>
          <w:rFonts w:hint="eastAsia" w:ascii="宋体" w:hAnsi="宋体" w:cs="宋体"/>
          <w:bCs/>
          <w:snapToGrid w:val="0"/>
          <w:szCs w:val="21"/>
          <w:lang w:val="en-US" w:eastAsia="zh-CN"/>
        </w:rPr>
        <w:t>具体详见投标文件（格式）</w:t>
      </w:r>
      <w:r>
        <w:rPr>
          <w:rFonts w:hint="eastAsia" w:ascii="宋体" w:hAnsi="宋体" w:cs="宋体"/>
          <w:bCs/>
          <w:snapToGrid w:val="0"/>
          <w:szCs w:val="21"/>
        </w:rPr>
        <w:t>。</w:t>
      </w:r>
    </w:p>
    <w:p w14:paraId="45F8559C">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14:paraId="7A7864D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14:paraId="12D106AC">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14:paraId="61E4BB53">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14:paraId="136DAF7E">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14:paraId="3C0FC402">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14:paraId="06319705">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14:paraId="1710231C">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14:paraId="17545A4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14:paraId="1B245FFB">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14:paraId="6C792984">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14:paraId="478C917E">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14:paraId="3B9D1884">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14:paraId="5E7EA03F">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14:paraId="1F6B6234">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14:paraId="081EAC9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14:paraId="19C4754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14:paraId="51330BB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397674B1">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14:paraId="2928D17D">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14:paraId="3FFD9B1D">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14:paraId="6A49C0B2">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14:paraId="4967CA06">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14:paraId="49AA1F54">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14:paraId="4E558A81">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14:paraId="4D9AED33">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14:paraId="7CBB8DEA">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14:paraId="64C3D49B">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14:paraId="30054028">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14:paraId="420213BB">
      <w:pPr>
        <w:spacing w:line="400" w:lineRule="exact"/>
        <w:ind w:firstLine="422" w:firstLineChars="200"/>
        <w:rPr>
          <w:rFonts w:ascii="宋体" w:hAnsi="宋体" w:cs="宋体"/>
          <w:b/>
          <w:szCs w:val="21"/>
        </w:rPr>
      </w:pPr>
      <w:r>
        <w:rPr>
          <w:rFonts w:hint="eastAsia" w:ascii="宋体" w:hAnsi="宋体" w:cs="宋体"/>
          <w:b/>
          <w:szCs w:val="21"/>
        </w:rPr>
        <w:t>1、评标</w:t>
      </w:r>
    </w:p>
    <w:p w14:paraId="29F4D8E8">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14:paraId="3493DB2C">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14:paraId="7347A4AC">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14:paraId="52F07DAA">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14:paraId="489F6781">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14:paraId="10F55F56">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14:paraId="683F59E1">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14:paraId="011F0130">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14:paraId="0B5BFFCA">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14:paraId="34511F9D">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14:paraId="07599653">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14:paraId="5B33ECDB">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14:paraId="7B276B27">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14:paraId="07E47087">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14:paraId="1F802AF6">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25F52AC6">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14:paraId="5F96407F">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14:paraId="53D07916">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14:paraId="316570D3">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14:paraId="20DEE837">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14:paraId="21086F4D">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14:paraId="3EC3901F">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14:paraId="6E3F87DE">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14:paraId="3F75C7DA">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14:paraId="0D8014D7">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14:paraId="50EB5DAB">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14:paraId="2CA0B343">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14:paraId="54661DA8">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14:paraId="0653C71B">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14:paraId="2FF813E7">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14:paraId="38C6E99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15600844">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0D60C7EA">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14:paraId="79A6F2F6">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14:paraId="63E08BA6">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5BCDE2D7">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14:paraId="5C114B16">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14:paraId="701E12E4">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14:paraId="3ED06B45">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14:paraId="46365FD5">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14:paraId="69BA1582">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14:paraId="09D9AC03">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14:paraId="3439B4D6">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14:paraId="7E47DD37">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14:paraId="36CFA8C5">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5D9F7F73">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14:paraId="4911DA60">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14:paraId="6D23E886">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14:paraId="37696936">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14:paraId="3BF02B0D">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14:paraId="3C04F148">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14:paraId="440C976D">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14:paraId="3F188E90">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14:paraId="0C8D2E61">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14:paraId="46453912">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14:paraId="10ABDE06">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14:paraId="216D6CDE">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14:paraId="18F281E7">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14:paraId="3706F4BA">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14:paraId="79685053">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14:paraId="7BFF6854">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14:paraId="03F85C1C">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14:paraId="32EDA0ED">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14:paraId="7BB7A74C">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14:paraId="30A414BC">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14:paraId="67AE700F">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14:paraId="18A21B2C">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14:paraId="0D1CA409">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14:paraId="4D3970BE">
      <w:pPr>
        <w:tabs>
          <w:tab w:val="left" w:pos="0"/>
          <w:tab w:val="left" w:pos="993"/>
        </w:tabs>
        <w:adjustRightInd w:val="0"/>
        <w:snapToGrid w:val="0"/>
        <w:spacing w:line="400" w:lineRule="exact"/>
        <w:ind w:firstLine="420" w:firstLineChars="200"/>
        <w:rPr>
          <w:rFonts w:hint="eastAsia" w:ascii="宋体" w:hAnsi="宋体" w:cs="宋体"/>
          <w:snapToGrid w:val="0"/>
          <w:szCs w:val="21"/>
        </w:rPr>
      </w:pPr>
      <w:r>
        <w:rPr>
          <w:rFonts w:hint="eastAsia" w:ascii="宋体" w:hAnsi="宋体" w:cs="宋体"/>
          <w:snapToGrid w:val="0"/>
          <w:szCs w:val="21"/>
        </w:rPr>
        <w:t>1、确定中标单位后，招标人将进行中标公示，公示3天，如无异议，招标人向中标单位发出中标通知书，并同时将中标结果通知所有未中标的承包人。中标通知书将成为合同的组成部分。</w:t>
      </w:r>
    </w:p>
    <w:p w14:paraId="58DEDA7F">
      <w:pPr>
        <w:tabs>
          <w:tab w:val="left" w:pos="0"/>
          <w:tab w:val="left" w:pos="993"/>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中标单位收到中标通知书后，应在30日内与招标人签订施工合同。中标人不与招标人订立合同的，投标保证金不予退还并取消其中标资格，给招标人造成的损失超过投标保证金数额的，应当对超过部分予以赔偿。</w:t>
      </w:r>
    </w:p>
    <w:p w14:paraId="2A8A1D6D">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14:paraId="7EBC4617">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14:paraId="32C2E461">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eastAsia="宋体" w:cs="宋体"/>
          <w:b/>
          <w:bCs/>
          <w:snapToGrid w:val="0"/>
          <w:sz w:val="21"/>
          <w:szCs w:val="21"/>
          <w:u w:val="none"/>
          <w:lang w:val="en-US" w:eastAsia="zh-CN"/>
        </w:rPr>
        <w:t>详见前附表。</w:t>
      </w:r>
    </w:p>
    <w:p w14:paraId="6E6F78D9">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7" w:name="_Toc28113"/>
      <w:bookmarkStart w:id="8" w:name="_Toc31178"/>
      <w:bookmarkStart w:id="9" w:name="_Toc28140"/>
      <w:bookmarkStart w:id="10" w:name="_Toc30383"/>
      <w:bookmarkStart w:id="11" w:name="_Toc21071"/>
      <w:bookmarkStart w:id="12" w:name="_Toc2005"/>
      <w:r>
        <w:rPr>
          <w:rFonts w:hint="eastAsia" w:ascii="宋体" w:hAnsi="宋体"/>
          <w:b/>
          <w:sz w:val="28"/>
          <w:szCs w:val="28"/>
        </w:rPr>
        <w:t>第二章 合同协议</w:t>
      </w:r>
      <w:bookmarkEnd w:id="7"/>
      <w:bookmarkEnd w:id="8"/>
      <w:bookmarkEnd w:id="9"/>
      <w:bookmarkEnd w:id="10"/>
      <w:bookmarkEnd w:id="11"/>
      <w:bookmarkEnd w:id="12"/>
    </w:p>
    <w:p w14:paraId="6BDED35F">
      <w:pPr>
        <w:pStyle w:val="3"/>
        <w:rPr>
          <w:rFonts w:ascii="宋体" w:hAnsi="宋体"/>
        </w:rPr>
      </w:pPr>
    </w:p>
    <w:p w14:paraId="7181819B">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3" w:name="_Toc424397471"/>
      <w:bookmarkStart w:id="14" w:name="_Toc31468"/>
      <w:bookmarkStart w:id="15" w:name="_Toc14619"/>
      <w:bookmarkStart w:id="16" w:name="_Toc6401"/>
      <w:bookmarkStart w:id="17" w:name="_Toc13643"/>
      <w:bookmarkStart w:id="18" w:name="_Toc9323"/>
      <w:bookmarkStart w:id="19" w:name="_Toc31683"/>
    </w:p>
    <w:p w14:paraId="6E512CAD">
      <w:pPr>
        <w:pStyle w:val="2"/>
      </w:pPr>
    </w:p>
    <w:p w14:paraId="0462E628">
      <w:pPr>
        <w:rPr>
          <w:rFonts w:ascii="宋体" w:hAnsi="宋体"/>
        </w:rPr>
      </w:pPr>
    </w:p>
    <w:p w14:paraId="4E18564B">
      <w:pPr>
        <w:tabs>
          <w:tab w:val="left" w:pos="0"/>
          <w:tab w:val="left" w:pos="993"/>
          <w:tab w:val="left" w:pos="1134"/>
        </w:tabs>
        <w:adjustRightInd w:val="0"/>
        <w:snapToGrid w:val="0"/>
        <w:spacing w:line="360" w:lineRule="auto"/>
        <w:outlineLvl w:val="0"/>
        <w:rPr>
          <w:rFonts w:ascii="宋体" w:hAnsi="宋体"/>
          <w:b/>
          <w:snapToGrid w:val="0"/>
          <w:sz w:val="24"/>
        </w:rPr>
      </w:pPr>
    </w:p>
    <w:p w14:paraId="27940D10">
      <w:pPr>
        <w:pStyle w:val="3"/>
        <w:rPr>
          <w:rFonts w:ascii="宋体" w:hAnsi="宋体"/>
          <w:b/>
          <w:snapToGrid w:val="0"/>
          <w:sz w:val="24"/>
        </w:rPr>
      </w:pPr>
    </w:p>
    <w:p w14:paraId="6C5784F6"/>
    <w:tbl>
      <w:tblPr>
        <w:tblStyle w:val="13"/>
        <w:tblW w:w="0" w:type="auto"/>
        <w:jc w:val="center"/>
        <w:tblLayout w:type="fixed"/>
        <w:tblCellMar>
          <w:top w:w="0" w:type="dxa"/>
          <w:left w:w="108" w:type="dxa"/>
          <w:bottom w:w="0" w:type="dxa"/>
          <w:right w:w="108" w:type="dxa"/>
        </w:tblCellMar>
      </w:tblPr>
      <w:tblGrid>
        <w:gridCol w:w="1476"/>
        <w:gridCol w:w="6641"/>
      </w:tblGrid>
      <w:tr w14:paraId="6B2A1AB1">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03D7E804">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14:paraId="618ED6B2">
            <w:pPr>
              <w:jc w:val="center"/>
              <w:rPr>
                <w:rFonts w:hint="eastAsia" w:ascii="宋体" w:hAnsi="宋体"/>
                <w:b/>
                <w:bCs/>
                <w:sz w:val="28"/>
                <w:szCs w:val="28"/>
                <w:lang w:val="en-US" w:eastAsia="zh-CN"/>
              </w:rPr>
            </w:pPr>
            <w:r>
              <w:rPr>
                <w:rFonts w:hint="eastAsia" w:ascii="宋体" w:hAnsi="宋体"/>
                <w:b/>
                <w:bCs/>
                <w:sz w:val="28"/>
                <w:szCs w:val="28"/>
                <w:lang w:val="en-US" w:eastAsia="zh-CN"/>
              </w:rPr>
              <w:t>常州市金坛新城实验幼儿园岸头佳园分园图书室吊顶修缮工程改造（二次）</w:t>
            </w:r>
          </w:p>
        </w:tc>
      </w:tr>
      <w:tr w14:paraId="789D95BA">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19B9B8F">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14:paraId="3461E0CD">
            <w:pPr>
              <w:jc w:val="center"/>
              <w:rPr>
                <w:rFonts w:hint="eastAsia" w:ascii="宋体" w:hAnsi="宋体"/>
                <w:b/>
                <w:bCs/>
                <w:sz w:val="28"/>
                <w:szCs w:val="28"/>
                <w:lang w:val="en-US" w:eastAsia="zh-CN"/>
              </w:rPr>
            </w:pPr>
          </w:p>
        </w:tc>
      </w:tr>
      <w:tr w14:paraId="7EDEC638">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CBFFB58">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14:paraId="2A6248B0">
            <w:pPr>
              <w:jc w:val="center"/>
              <w:rPr>
                <w:rFonts w:hint="eastAsia" w:ascii="宋体" w:hAnsi="宋体"/>
                <w:b/>
                <w:bCs/>
                <w:sz w:val="28"/>
                <w:szCs w:val="28"/>
                <w:lang w:val="en-US" w:eastAsia="zh-CN"/>
              </w:rPr>
            </w:pPr>
            <w:r>
              <w:rPr>
                <w:rFonts w:hint="eastAsia" w:ascii="宋体" w:hAnsi="宋体"/>
                <w:b/>
                <w:bCs/>
                <w:sz w:val="28"/>
                <w:szCs w:val="28"/>
                <w:lang w:val="en-US" w:eastAsia="zh-CN"/>
              </w:rPr>
              <w:t>20日历天（以开工令为准）</w:t>
            </w:r>
          </w:p>
        </w:tc>
      </w:tr>
      <w:tr w14:paraId="3D9B27BF">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62718D5">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14:paraId="2546C070">
            <w:pPr>
              <w:jc w:val="center"/>
              <w:rPr>
                <w:rFonts w:hint="eastAsia" w:ascii="宋体" w:hAnsi="宋体"/>
                <w:b/>
                <w:bCs/>
                <w:sz w:val="28"/>
                <w:szCs w:val="28"/>
                <w:lang w:val="en-US" w:eastAsia="zh-CN"/>
              </w:rPr>
            </w:pPr>
          </w:p>
        </w:tc>
      </w:tr>
      <w:tr w14:paraId="4DCE3CC1">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187EEBD">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14:paraId="72C4F78E">
            <w:pPr>
              <w:jc w:val="center"/>
              <w:rPr>
                <w:rFonts w:hint="default" w:ascii="宋体" w:hAnsi="宋体"/>
                <w:b/>
                <w:bCs/>
                <w:sz w:val="28"/>
                <w:szCs w:val="28"/>
                <w:lang w:val="en-US" w:eastAsia="zh-CN"/>
              </w:rPr>
            </w:pPr>
            <w:r>
              <w:rPr>
                <w:rFonts w:hint="eastAsia" w:ascii="宋体" w:hAnsi="宋体"/>
                <w:b/>
                <w:bCs/>
                <w:sz w:val="28"/>
                <w:szCs w:val="28"/>
                <w:lang w:val="en-US" w:eastAsia="zh-CN"/>
              </w:rPr>
              <w:t>常州市金坛新城实验幼儿园岸头佳园分园</w:t>
            </w:r>
          </w:p>
        </w:tc>
      </w:tr>
    </w:tbl>
    <w:p w14:paraId="4500C4B9">
      <w:pPr>
        <w:tabs>
          <w:tab w:val="left" w:pos="0"/>
          <w:tab w:val="left" w:pos="993"/>
          <w:tab w:val="left" w:pos="1134"/>
        </w:tabs>
        <w:adjustRightInd w:val="0"/>
        <w:snapToGrid w:val="0"/>
        <w:spacing w:line="360" w:lineRule="auto"/>
        <w:jc w:val="center"/>
        <w:outlineLvl w:val="0"/>
        <w:rPr>
          <w:rFonts w:ascii="宋体" w:hAnsi="宋体"/>
          <w:b/>
          <w:snapToGrid w:val="0"/>
          <w:sz w:val="24"/>
        </w:rPr>
      </w:pPr>
    </w:p>
    <w:p w14:paraId="6BAC5127">
      <w:pPr>
        <w:tabs>
          <w:tab w:val="left" w:pos="0"/>
          <w:tab w:val="left" w:pos="993"/>
          <w:tab w:val="left" w:pos="1134"/>
        </w:tabs>
        <w:adjustRightInd w:val="0"/>
        <w:snapToGrid w:val="0"/>
        <w:spacing w:line="360" w:lineRule="auto"/>
        <w:jc w:val="center"/>
        <w:outlineLvl w:val="0"/>
        <w:rPr>
          <w:rFonts w:ascii="宋体" w:hAnsi="宋体"/>
          <w:b/>
          <w:snapToGrid w:val="0"/>
          <w:sz w:val="24"/>
        </w:rPr>
      </w:pPr>
    </w:p>
    <w:p w14:paraId="2F9F9B24">
      <w:pPr>
        <w:pStyle w:val="3"/>
        <w:rPr>
          <w:rFonts w:ascii="宋体" w:hAnsi="宋体"/>
          <w:b/>
          <w:snapToGrid w:val="0"/>
          <w:sz w:val="24"/>
        </w:rPr>
      </w:pPr>
    </w:p>
    <w:p w14:paraId="2E853843">
      <w:pPr>
        <w:rPr>
          <w:rFonts w:ascii="宋体" w:hAnsi="宋体"/>
          <w:b/>
          <w:snapToGrid w:val="0"/>
          <w:sz w:val="24"/>
        </w:rPr>
      </w:pPr>
    </w:p>
    <w:p w14:paraId="770942CD">
      <w:pPr>
        <w:pStyle w:val="3"/>
        <w:rPr>
          <w:rFonts w:ascii="宋体" w:hAnsi="宋体"/>
          <w:b/>
          <w:snapToGrid w:val="0"/>
          <w:sz w:val="24"/>
        </w:rPr>
      </w:pPr>
    </w:p>
    <w:p w14:paraId="72A48499">
      <w:pPr>
        <w:rPr>
          <w:rFonts w:ascii="宋体" w:hAnsi="宋体"/>
          <w:b/>
          <w:snapToGrid w:val="0"/>
          <w:sz w:val="24"/>
        </w:rPr>
      </w:pPr>
    </w:p>
    <w:p w14:paraId="4437F550">
      <w:pPr>
        <w:pStyle w:val="3"/>
        <w:rPr>
          <w:rFonts w:ascii="宋体" w:hAnsi="宋体"/>
          <w:b/>
          <w:snapToGrid w:val="0"/>
          <w:sz w:val="24"/>
        </w:rPr>
      </w:pPr>
    </w:p>
    <w:p w14:paraId="2AE8C911">
      <w:pPr>
        <w:rPr>
          <w:rFonts w:ascii="宋体" w:hAnsi="宋体"/>
          <w:b/>
          <w:snapToGrid w:val="0"/>
          <w:sz w:val="24"/>
        </w:rPr>
      </w:pPr>
    </w:p>
    <w:p w14:paraId="28FC40C1">
      <w:pPr>
        <w:pStyle w:val="3"/>
      </w:pPr>
    </w:p>
    <w:p w14:paraId="4253B211">
      <w:pPr>
        <w:jc w:val="center"/>
        <w:rPr>
          <w:rFonts w:ascii="宋体" w:hAnsi="宋体"/>
          <w:sz w:val="30"/>
          <w:szCs w:val="30"/>
        </w:rPr>
      </w:pPr>
      <w:r>
        <w:rPr>
          <w:rFonts w:hint="eastAsia" w:ascii="宋体" w:hAnsi="宋体"/>
          <w:sz w:val="30"/>
          <w:szCs w:val="30"/>
        </w:rPr>
        <w:t>国家工商行政管理局</w:t>
      </w:r>
    </w:p>
    <w:p w14:paraId="7AF6EF6B">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0"/>
          <w:szCs w:val="40"/>
        </w:rPr>
        <w:t>制定</w:t>
      </w:r>
    </w:p>
    <w:p w14:paraId="741EC176">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14:paraId="7CFE24AC">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14:paraId="2F62C641">
      <w:pPr>
        <w:spacing w:line="360" w:lineRule="auto"/>
        <w:rPr>
          <w:rFonts w:ascii="宋体" w:hAnsi="宋体" w:eastAsia="宋体" w:cs="宋体"/>
          <w:szCs w:val="21"/>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 w:val="21"/>
          <w:szCs w:val="21"/>
          <w:u w:val="single"/>
          <w:lang w:val="en-US" w:eastAsia="zh-CN"/>
        </w:rPr>
        <w:t>常州市金坛新城实验幼儿园岸头佳园分园</w:t>
      </w:r>
    </w:p>
    <w:p w14:paraId="0EFC315A">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14:paraId="35B7D313">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7"/>
          <w:rFonts w:hint="eastAsia" w:ascii="宋体" w:hAnsi="宋体" w:eastAsia="宋体" w:cs="宋体"/>
          <w:color w:val="auto"/>
          <w:szCs w:val="21"/>
          <w:u w:val="none"/>
        </w:rPr>
        <w:t>中华人民共和国建筑</w:t>
      </w:r>
      <w:bookmarkStart w:id="20" w:name="_Hlt103331644"/>
      <w:bookmarkStart w:id="21" w:name="_Hlt103331645"/>
      <w:r>
        <w:rPr>
          <w:rStyle w:val="17"/>
          <w:rFonts w:hint="eastAsia" w:ascii="宋体" w:hAnsi="宋体" w:eastAsia="宋体" w:cs="宋体"/>
          <w:color w:val="auto"/>
          <w:szCs w:val="21"/>
          <w:u w:val="none"/>
        </w:rPr>
        <w:t>法</w:t>
      </w:r>
      <w:bookmarkEnd w:id="20"/>
      <w:bookmarkEnd w:id="21"/>
      <w:r>
        <w:rPr>
          <w:rStyle w:val="17"/>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14:paraId="6AA2B820">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14:paraId="6D106B73">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szCs w:val="21"/>
          <w:lang w:val="en-US" w:eastAsia="zh-CN"/>
        </w:rPr>
        <w:t>1.</w:t>
      </w:r>
      <w:r>
        <w:rPr>
          <w:rFonts w:hint="eastAsia" w:ascii="宋体" w:hAnsi="宋体" w:eastAsia="宋体" w:cs="宋体"/>
          <w:szCs w:val="21"/>
        </w:rPr>
        <w:t>工程名称：</w:t>
      </w:r>
      <w:r>
        <w:rPr>
          <w:rFonts w:hint="eastAsia" w:ascii="宋体" w:hAnsi="宋体" w:eastAsia="宋体" w:cs="宋体"/>
          <w:sz w:val="21"/>
          <w:szCs w:val="21"/>
          <w:lang w:val="en-US" w:eastAsia="zh-CN"/>
        </w:rPr>
        <w:t>常州市金坛新城实验幼儿园岸头佳园分园图书室吊顶修缮工程改造（二次）</w:t>
      </w:r>
      <w:r>
        <w:rPr>
          <w:rFonts w:hint="eastAsia" w:ascii="宋体" w:hAnsi="宋体" w:eastAsia="宋体" w:cs="宋体"/>
          <w:kern w:val="0"/>
          <w:szCs w:val="21"/>
        </w:rPr>
        <w:t>。</w:t>
      </w:r>
    </w:p>
    <w:p w14:paraId="5D64E3E6">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2.工程地点：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599767B">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.工程内容：</w:t>
      </w:r>
      <w:r>
        <w:rPr>
          <w:rFonts w:hint="eastAsia" w:ascii="宋体" w:hAnsi="宋体" w:eastAsia="宋体" w:cs="宋体"/>
          <w:bCs/>
          <w:color w:val="auto"/>
          <w:sz w:val="21"/>
          <w:szCs w:val="21"/>
          <w:highlight w:val="none"/>
          <w:u w:val="single"/>
        </w:rPr>
        <w:t>详见工程量清单范围</w:t>
      </w:r>
      <w:r>
        <w:rPr>
          <w:rFonts w:hint="eastAsia" w:ascii="宋体" w:hAnsi="宋体" w:eastAsia="宋体" w:cs="宋体"/>
          <w:bCs/>
          <w:color w:val="auto"/>
          <w:sz w:val="21"/>
          <w:szCs w:val="21"/>
          <w:highlight w:val="none"/>
        </w:rPr>
        <w:t>。</w:t>
      </w:r>
    </w:p>
    <w:p w14:paraId="08322FE7">
      <w:pPr>
        <w:spacing w:line="360" w:lineRule="auto"/>
        <w:ind w:firstLine="420" w:firstLineChars="200"/>
        <w:rPr>
          <w:rFonts w:ascii="宋体" w:hAnsi="宋体" w:eastAsia="宋体" w:cs="宋体"/>
          <w:b/>
          <w:bCs/>
          <w:szCs w:val="21"/>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.工程承包范围：</w:t>
      </w:r>
      <w:r>
        <w:rPr>
          <w:rFonts w:hint="eastAsia" w:ascii="宋体" w:hAnsi="宋体" w:eastAsia="宋体" w:cs="宋体"/>
          <w:bCs/>
          <w:color w:val="auto"/>
          <w:sz w:val="21"/>
          <w:szCs w:val="21"/>
          <w:highlight w:val="none"/>
          <w:u w:val="single"/>
        </w:rPr>
        <w:t>详见工程量清单范围</w:t>
      </w:r>
      <w:r>
        <w:rPr>
          <w:rFonts w:hint="eastAsia" w:ascii="宋体" w:hAnsi="宋体" w:eastAsia="宋体" w:cs="宋体"/>
          <w:color w:val="auto"/>
          <w:sz w:val="21"/>
          <w:szCs w:val="21"/>
          <w:highlight w:val="none"/>
        </w:rPr>
        <w:t>。</w:t>
      </w:r>
      <w:r>
        <w:rPr>
          <w:rFonts w:hint="eastAsia" w:ascii="宋体" w:hAnsi="宋体" w:eastAsia="宋体" w:cs="宋体"/>
          <w:szCs w:val="21"/>
        </w:rPr>
        <w:t xml:space="preserve">                  </w:t>
      </w:r>
      <w:r>
        <w:rPr>
          <w:rFonts w:hint="eastAsia" w:ascii="宋体" w:hAnsi="宋体" w:eastAsia="宋体" w:cs="宋体"/>
          <w:b/>
          <w:bCs/>
          <w:szCs w:val="21"/>
        </w:rPr>
        <w:t xml:space="preserve">           </w:t>
      </w:r>
    </w:p>
    <w:p w14:paraId="2E049DC5">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val="en-US" w:eastAsia="zh-CN"/>
        </w:rPr>
        <w:t>二</w:t>
      </w:r>
      <w:r>
        <w:rPr>
          <w:rFonts w:hint="eastAsia" w:ascii="宋体" w:hAnsi="宋体" w:eastAsia="宋体" w:cs="宋体"/>
          <w:b/>
          <w:bCs/>
          <w:szCs w:val="21"/>
        </w:rPr>
        <w:t>、合同工期：</w:t>
      </w:r>
      <w:r>
        <w:rPr>
          <w:rFonts w:hint="eastAsia" w:ascii="宋体" w:hAnsi="宋体" w:eastAsia="宋体" w:cs="宋体"/>
          <w:b/>
          <w:bCs/>
          <w:szCs w:val="21"/>
          <w:lang w:val="en-US" w:eastAsia="zh-CN"/>
        </w:rPr>
        <w:t>20日历天（以开工令为准）</w:t>
      </w:r>
      <w:r>
        <w:rPr>
          <w:rFonts w:hint="eastAsia" w:ascii="宋体" w:hAnsi="宋体" w:eastAsia="宋体" w:cs="宋体"/>
          <w:b/>
          <w:bCs/>
          <w:szCs w:val="21"/>
        </w:rPr>
        <w:t>。</w:t>
      </w:r>
    </w:p>
    <w:p w14:paraId="735761DE">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14:paraId="0065D6F6">
      <w:pPr>
        <w:spacing w:line="360" w:lineRule="auto"/>
        <w:ind w:left="400"/>
        <w:rPr>
          <w:rFonts w:ascii="宋体" w:hAnsi="宋体" w:eastAsia="宋体" w:cs="宋体"/>
          <w:szCs w:val="21"/>
        </w:rPr>
      </w:pPr>
      <w:r>
        <w:rPr>
          <w:rFonts w:hint="eastAsia" w:ascii="宋体" w:hAnsi="宋体" w:cs="宋体"/>
          <w:b/>
          <w:bCs/>
          <w:szCs w:val="21"/>
          <w:lang w:val="en-US" w:eastAsia="zh-CN"/>
        </w:rPr>
        <w:t>三</w:t>
      </w:r>
      <w:r>
        <w:rPr>
          <w:rFonts w:hint="eastAsia" w:ascii="宋体" w:hAnsi="宋体" w:cs="宋体"/>
          <w:b/>
          <w:bCs/>
          <w:szCs w:val="21"/>
        </w:rPr>
        <w:t>、</w:t>
      </w:r>
      <w:r>
        <w:rPr>
          <w:rFonts w:hint="eastAsia" w:ascii="宋体" w:hAnsi="宋体" w:eastAsia="宋体" w:cs="宋体"/>
          <w:b/>
          <w:bCs/>
          <w:szCs w:val="21"/>
        </w:rPr>
        <w:t>质量等级：</w:t>
      </w:r>
      <w:r>
        <w:rPr>
          <w:rFonts w:hint="eastAsia" w:ascii="宋体" w:hAnsi="宋体" w:eastAsia="宋体" w:cs="宋体"/>
          <w:szCs w:val="21"/>
        </w:rPr>
        <w:t>合格</w:t>
      </w:r>
    </w:p>
    <w:p w14:paraId="45FA60F0">
      <w:pPr>
        <w:widowControl/>
        <w:spacing w:line="360" w:lineRule="auto"/>
        <w:ind w:left="400"/>
        <w:rPr>
          <w:rFonts w:ascii="宋体" w:hAnsi="宋体" w:eastAsia="宋体" w:cs="宋体"/>
          <w:b/>
          <w:bCs/>
          <w:szCs w:val="21"/>
        </w:rPr>
      </w:pPr>
      <w:r>
        <w:rPr>
          <w:rFonts w:hint="eastAsia" w:ascii="宋体" w:hAnsi="宋体" w:cs="宋体"/>
          <w:b/>
          <w:bCs/>
          <w:szCs w:val="21"/>
          <w:lang w:val="en-US" w:eastAsia="zh-CN"/>
        </w:rPr>
        <w:t>四</w:t>
      </w:r>
      <w:r>
        <w:rPr>
          <w:rFonts w:hint="eastAsia" w:ascii="宋体" w:hAnsi="宋体" w:cs="宋体"/>
          <w:b/>
          <w:bCs/>
          <w:szCs w:val="21"/>
        </w:rPr>
        <w:t>、</w:t>
      </w:r>
      <w:r>
        <w:rPr>
          <w:rFonts w:hint="eastAsia" w:ascii="宋体" w:hAnsi="宋体" w:eastAsia="宋体" w:cs="宋体"/>
          <w:b/>
          <w:bCs/>
          <w:szCs w:val="21"/>
        </w:rPr>
        <w:t>签约合同价与合同价格形式</w:t>
      </w:r>
    </w:p>
    <w:p w14:paraId="7B1718A9">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14:paraId="08D1FA92">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14:paraId="2ACC7712">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14:paraId="23EBBE34">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14:paraId="3DB1091B">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14:paraId="7129CD4A">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14:paraId="68027257">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14:paraId="3A5DE8DA">
      <w:pPr>
        <w:widowControl/>
        <w:numPr>
          <w:ilvl w:val="0"/>
          <w:numId w:val="2"/>
        </w:numPr>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合同价格形式：综合单价。</w:t>
      </w:r>
    </w:p>
    <w:p w14:paraId="7EA3C27D">
      <w:pPr>
        <w:pageBreakBefore w:val="0"/>
        <w:widowControl w:val="0"/>
        <w:numPr>
          <w:ilvl w:val="0"/>
          <w:numId w:val="3"/>
        </w:numPr>
        <w:kinsoku/>
        <w:wordWrap/>
        <w:overflowPunct/>
        <w:topLinePunct w:val="0"/>
        <w:bidi w:val="0"/>
        <w:snapToGrid/>
        <w:spacing w:line="360" w:lineRule="exact"/>
        <w:ind w:firstLine="422" w:firstLineChars="200"/>
        <w:jc w:val="left"/>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项目经理</w:t>
      </w:r>
    </w:p>
    <w:p w14:paraId="67B1BAF9">
      <w:pPr>
        <w:pageBreakBefore w:val="0"/>
        <w:widowControl w:val="0"/>
        <w:numPr>
          <w:ilvl w:val="0"/>
          <w:numId w:val="0"/>
        </w:numPr>
        <w:kinsoku/>
        <w:wordWrap/>
        <w:overflowPunct/>
        <w:topLinePunct w:val="0"/>
        <w:bidi w:val="0"/>
        <w:snapToGrid/>
        <w:spacing w:line="360" w:lineRule="exact"/>
        <w:ind w:firstLine="840" w:firstLineChars="400"/>
        <w:jc w:val="left"/>
        <w:textAlignment w:val="auto"/>
        <w:rPr>
          <w:rFonts w:hint="default" w:ascii="宋体" w:hAnsi="宋体" w:eastAsia="宋体" w:cs="宋体"/>
          <w:szCs w:val="21"/>
          <w:lang w:val="en-US" w:eastAsia="zh-CN"/>
        </w:rPr>
      </w:pPr>
      <w:r>
        <w:rPr>
          <w:rFonts w:hint="eastAsia" w:ascii="宋体" w:hAnsi="宋体" w:eastAsia="宋体" w:cs="宋体"/>
          <w:color w:val="auto"/>
          <w:sz w:val="21"/>
          <w:szCs w:val="21"/>
          <w:highlight w:val="none"/>
        </w:rPr>
        <w:t>承包人项目经理：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F1CD454">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14:paraId="54016362">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14:paraId="1A701B05">
      <w:pPr>
        <w:widowControl/>
        <w:spacing w:line="360" w:lineRule="auto"/>
        <w:rPr>
          <w:rFonts w:hint="eastAsia" w:ascii="宋体" w:hAnsi="宋体" w:eastAsia="宋体" w:cs="宋体"/>
          <w:szCs w:val="21"/>
        </w:rPr>
      </w:pPr>
      <w:r>
        <w:rPr>
          <w:rFonts w:hint="eastAsia" w:ascii="宋体" w:hAnsi="宋体" w:eastAsia="宋体" w:cs="宋体"/>
          <w:szCs w:val="21"/>
        </w:rPr>
        <w:t>（1）中标通知书；</w:t>
      </w:r>
    </w:p>
    <w:p w14:paraId="21B002F3">
      <w:pPr>
        <w:widowControl/>
        <w:spacing w:line="360" w:lineRule="auto"/>
        <w:rPr>
          <w:rFonts w:hint="eastAsia" w:ascii="宋体" w:hAnsi="宋体" w:eastAsia="宋体" w:cs="宋体"/>
          <w:szCs w:val="21"/>
        </w:rPr>
      </w:pPr>
      <w:r>
        <w:rPr>
          <w:rFonts w:hint="eastAsia" w:ascii="宋体" w:hAnsi="宋体" w:eastAsia="宋体" w:cs="宋体"/>
          <w:szCs w:val="21"/>
        </w:rPr>
        <w:t xml:space="preserve">（2）投标函及其附录； </w:t>
      </w:r>
    </w:p>
    <w:p w14:paraId="29C681A7">
      <w:pPr>
        <w:widowControl/>
        <w:spacing w:line="360" w:lineRule="auto"/>
        <w:rPr>
          <w:rFonts w:hint="eastAsia" w:ascii="宋体" w:hAnsi="宋体" w:eastAsia="宋体" w:cs="宋体"/>
          <w:szCs w:val="21"/>
        </w:rPr>
      </w:pPr>
      <w:r>
        <w:rPr>
          <w:rFonts w:hint="eastAsia" w:ascii="宋体" w:hAnsi="宋体" w:eastAsia="宋体" w:cs="宋体"/>
          <w:szCs w:val="21"/>
        </w:rPr>
        <w:t>（3）专用合同条款及其附件；</w:t>
      </w:r>
    </w:p>
    <w:p w14:paraId="3E88D803">
      <w:pPr>
        <w:widowControl/>
        <w:spacing w:line="360" w:lineRule="auto"/>
        <w:rPr>
          <w:rFonts w:hint="eastAsia" w:ascii="宋体" w:hAnsi="宋体" w:eastAsia="宋体" w:cs="宋体"/>
          <w:szCs w:val="21"/>
        </w:rPr>
      </w:pPr>
      <w:r>
        <w:rPr>
          <w:rFonts w:hint="eastAsia" w:ascii="宋体" w:hAnsi="宋体" w:eastAsia="宋体" w:cs="宋体"/>
          <w:szCs w:val="21"/>
        </w:rPr>
        <w:t>（4）通用合同条款；</w:t>
      </w:r>
    </w:p>
    <w:p w14:paraId="03204449">
      <w:pPr>
        <w:widowControl/>
        <w:spacing w:line="360" w:lineRule="auto"/>
        <w:rPr>
          <w:rFonts w:hint="eastAsia" w:ascii="宋体" w:hAnsi="宋体" w:eastAsia="宋体" w:cs="宋体"/>
          <w:szCs w:val="21"/>
        </w:rPr>
      </w:pPr>
      <w:r>
        <w:rPr>
          <w:rFonts w:hint="eastAsia" w:ascii="宋体" w:hAnsi="宋体" w:eastAsia="宋体" w:cs="宋体"/>
          <w:szCs w:val="21"/>
        </w:rPr>
        <w:t>（5）技术标准和要求；</w:t>
      </w:r>
    </w:p>
    <w:p w14:paraId="7EE0F47A">
      <w:pPr>
        <w:widowControl/>
        <w:spacing w:line="360" w:lineRule="auto"/>
        <w:rPr>
          <w:rFonts w:hint="eastAsia" w:ascii="宋体" w:hAnsi="宋体" w:eastAsia="宋体" w:cs="宋体"/>
          <w:szCs w:val="21"/>
        </w:rPr>
      </w:pPr>
      <w:r>
        <w:rPr>
          <w:rFonts w:hint="eastAsia" w:ascii="宋体" w:hAnsi="宋体" w:eastAsia="宋体" w:cs="宋体"/>
          <w:szCs w:val="21"/>
        </w:rPr>
        <w:t>（6）图纸（如有）；</w:t>
      </w:r>
    </w:p>
    <w:p w14:paraId="1797917D">
      <w:pPr>
        <w:widowControl/>
        <w:spacing w:line="360" w:lineRule="auto"/>
        <w:rPr>
          <w:rFonts w:hint="eastAsia" w:ascii="宋体" w:hAnsi="宋体" w:eastAsia="宋体" w:cs="宋体"/>
          <w:szCs w:val="21"/>
        </w:rPr>
      </w:pPr>
      <w:r>
        <w:rPr>
          <w:rFonts w:hint="eastAsia" w:ascii="宋体" w:hAnsi="宋体" w:eastAsia="宋体" w:cs="宋体"/>
          <w:szCs w:val="21"/>
        </w:rPr>
        <w:t>（7）已标价工程量清单或预算书；</w:t>
      </w:r>
    </w:p>
    <w:p w14:paraId="0B3C81FA">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（8）其他合同文件。</w:t>
      </w:r>
    </w:p>
    <w:p w14:paraId="7FA4773B">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在合同订立及履行过程中形成的与合同有关的文件均构成合同文件组成部分。</w:t>
      </w:r>
    </w:p>
    <w:p w14:paraId="4A320E79">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ascii="宋体" w:hAnsi="宋体" w:eastAsia="宋体" w:cs="宋体"/>
          <w:szCs w:val="21"/>
        </w:rPr>
      </w:pPr>
      <w:r>
        <w:rPr>
          <w:rFonts w:hint="eastAsia" w:ascii="宋体" w:hAnsi="宋体" w:eastAsia="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FC678DB">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szCs w:val="21"/>
        </w:rPr>
        <w:t xml:space="preserve">   </w:t>
      </w:r>
      <w:bookmarkStart w:id="22" w:name="_Toc351203487"/>
      <w:bookmarkStart w:id="23" w:name="_Toc51164661"/>
      <w:bookmarkStart w:id="24" w:name="_Toc22793"/>
      <w:r>
        <w:rPr>
          <w:rFonts w:hint="eastAsia" w:ascii="宋体" w:hAnsi="宋体" w:eastAsia="宋体" w:cs="宋体"/>
          <w:b/>
          <w:color w:val="auto"/>
          <w:kern w:val="0"/>
          <w:sz w:val="21"/>
          <w:szCs w:val="21"/>
          <w:highlight w:val="none"/>
          <w:lang w:val="en-US" w:eastAsia="zh-CN" w:bidi="ar-SA"/>
        </w:rPr>
        <w:t>七、承诺</w:t>
      </w:r>
      <w:bookmarkEnd w:id="22"/>
      <w:bookmarkEnd w:id="23"/>
      <w:bookmarkEnd w:id="24"/>
    </w:p>
    <w:p w14:paraId="0317FE11">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1.发包人承诺按照法律规定履行项目审批手续、筹集工程建设资金并按照合同约定的期限和方式支付合同价款。</w:t>
      </w:r>
    </w:p>
    <w:p w14:paraId="17168522">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65D69895">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3.发包人和承包人通过招</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形式签订合同的，双方理解并承诺不再就同一工程另行签订与合同实质性内容相背离的协议。</w:t>
      </w:r>
    </w:p>
    <w:p w14:paraId="42862BB3">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5" w:name="_Toc51164662"/>
      <w:bookmarkStart w:id="26" w:name="_Toc27351"/>
      <w:bookmarkStart w:id="27" w:name="_Toc351203488"/>
      <w:r>
        <w:rPr>
          <w:rFonts w:hint="eastAsia" w:ascii="宋体" w:hAnsi="宋体" w:eastAsia="宋体" w:cs="宋体"/>
          <w:b/>
          <w:color w:val="auto"/>
          <w:kern w:val="0"/>
          <w:sz w:val="21"/>
          <w:szCs w:val="21"/>
          <w:highlight w:val="none"/>
          <w:lang w:val="en-US" w:eastAsia="zh-CN" w:bidi="ar-SA"/>
        </w:rPr>
        <w:t>八、词语含义</w:t>
      </w:r>
      <w:bookmarkEnd w:id="25"/>
      <w:bookmarkEnd w:id="26"/>
      <w:bookmarkEnd w:id="27"/>
    </w:p>
    <w:p w14:paraId="7A01EF89">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本协议书中词语含义与第二部分通用合同条款中赋予的含义相同。</w:t>
      </w:r>
    </w:p>
    <w:p w14:paraId="1D92291C">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8" w:name="_Toc12771"/>
      <w:bookmarkStart w:id="29" w:name="_Toc51164663"/>
      <w:bookmarkStart w:id="30" w:name="_Toc351203489"/>
      <w:r>
        <w:rPr>
          <w:rFonts w:hint="eastAsia" w:ascii="宋体" w:hAnsi="宋体" w:eastAsia="宋体" w:cs="宋体"/>
          <w:b/>
          <w:color w:val="auto"/>
          <w:kern w:val="0"/>
          <w:sz w:val="21"/>
          <w:szCs w:val="21"/>
          <w:highlight w:val="none"/>
          <w:lang w:val="en-US" w:eastAsia="zh-CN" w:bidi="ar-SA"/>
        </w:rPr>
        <w:t>九、签订时间</w:t>
      </w:r>
      <w:bookmarkEnd w:id="28"/>
      <w:bookmarkEnd w:id="29"/>
      <w:bookmarkEnd w:id="30"/>
    </w:p>
    <w:p w14:paraId="25DE057D">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本合同于签订</w:t>
      </w:r>
      <w:r>
        <w:rPr>
          <w:rFonts w:hint="eastAsia" w:ascii="宋体" w:hAnsi="宋体" w:eastAsia="宋体" w:cs="宋体"/>
          <w:bCs/>
          <w:color w:val="auto"/>
          <w:sz w:val="21"/>
          <w:szCs w:val="21"/>
          <w:highlight w:val="none"/>
          <w:u w:val="single"/>
          <w:lang w:val="en-US" w:eastAsia="zh-CN"/>
        </w:rPr>
        <w:t xml:space="preserve">      年   月   日</w:t>
      </w:r>
      <w:r>
        <w:rPr>
          <w:rFonts w:hint="eastAsia" w:ascii="宋体" w:hAnsi="宋体" w:eastAsia="宋体" w:cs="宋体"/>
          <w:bCs/>
          <w:color w:val="auto"/>
          <w:sz w:val="21"/>
          <w:szCs w:val="21"/>
          <w:highlight w:val="none"/>
        </w:rPr>
        <w:t>。</w:t>
      </w:r>
    </w:p>
    <w:p w14:paraId="1FFEBE57">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1" w:name="_Toc51164664"/>
      <w:bookmarkStart w:id="32" w:name="_Toc15562"/>
      <w:bookmarkStart w:id="33" w:name="_Toc351203490"/>
      <w:r>
        <w:rPr>
          <w:rFonts w:hint="eastAsia" w:ascii="宋体" w:hAnsi="宋体" w:eastAsia="宋体" w:cs="宋体"/>
          <w:b/>
          <w:color w:val="auto"/>
          <w:kern w:val="0"/>
          <w:sz w:val="21"/>
          <w:szCs w:val="21"/>
          <w:highlight w:val="none"/>
          <w:lang w:val="en-US" w:eastAsia="zh-CN" w:bidi="ar-SA"/>
        </w:rPr>
        <w:t>十、签订地点</w:t>
      </w:r>
      <w:bookmarkEnd w:id="31"/>
      <w:bookmarkEnd w:id="32"/>
      <w:bookmarkEnd w:id="33"/>
    </w:p>
    <w:p w14:paraId="33975EA1">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本合同在签订</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30820961">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4" w:name="_Toc351203491"/>
      <w:bookmarkStart w:id="35" w:name="_Toc51164665"/>
      <w:bookmarkStart w:id="36" w:name="_Toc15264"/>
      <w:r>
        <w:rPr>
          <w:rFonts w:hint="eastAsia" w:ascii="宋体" w:hAnsi="宋体" w:eastAsia="宋体" w:cs="宋体"/>
          <w:b/>
          <w:color w:val="auto"/>
          <w:kern w:val="0"/>
          <w:sz w:val="21"/>
          <w:szCs w:val="21"/>
          <w:highlight w:val="none"/>
          <w:lang w:val="en-US" w:eastAsia="zh-CN" w:bidi="ar-SA"/>
        </w:rPr>
        <w:t>十一、补充协议</w:t>
      </w:r>
      <w:bookmarkEnd w:id="34"/>
      <w:bookmarkEnd w:id="35"/>
      <w:bookmarkEnd w:id="36"/>
    </w:p>
    <w:p w14:paraId="609A6ECA">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Cs/>
          <w:color w:val="auto"/>
          <w:sz w:val="21"/>
          <w:szCs w:val="21"/>
          <w:highlight w:val="none"/>
        </w:rPr>
        <w:t>合同未尽事宜，合同当事人另行签订补充协议，补充协议是合同的组成部分。</w:t>
      </w:r>
    </w:p>
    <w:p w14:paraId="37BFE724">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7" w:name="_Toc51164666"/>
      <w:bookmarkStart w:id="38" w:name="_Toc351203492"/>
      <w:bookmarkStart w:id="39" w:name="_Toc24939"/>
      <w:r>
        <w:rPr>
          <w:rFonts w:hint="eastAsia" w:ascii="宋体" w:hAnsi="宋体" w:eastAsia="宋体" w:cs="宋体"/>
          <w:b/>
          <w:color w:val="auto"/>
          <w:kern w:val="0"/>
          <w:sz w:val="21"/>
          <w:szCs w:val="21"/>
          <w:highlight w:val="none"/>
          <w:lang w:val="en-US" w:eastAsia="zh-CN" w:bidi="ar-SA"/>
        </w:rPr>
        <w:t>十二、合同生效</w:t>
      </w:r>
      <w:bookmarkEnd w:id="37"/>
      <w:bookmarkEnd w:id="38"/>
      <w:bookmarkEnd w:id="39"/>
    </w:p>
    <w:p w14:paraId="68BE0AC2">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color w:val="auto"/>
          <w:sz w:val="21"/>
          <w:szCs w:val="21"/>
          <w:highlight w:val="none"/>
        </w:rPr>
        <w:t>除法律另有规定或合同另有约定外，发包人和承包人的法定代表人或其委托代理 人在合同协议书上签字并盖单位章后</w:t>
      </w:r>
      <w:r>
        <w:rPr>
          <w:rFonts w:hint="eastAsia" w:ascii="宋体" w:hAnsi="宋体" w:eastAsia="宋体" w:cs="宋体"/>
          <w:bCs/>
          <w:color w:val="auto"/>
          <w:sz w:val="21"/>
          <w:szCs w:val="21"/>
          <w:highlight w:val="none"/>
        </w:rPr>
        <w:t>生效。</w:t>
      </w:r>
    </w:p>
    <w:p w14:paraId="275D3855">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0" w:name="_Toc18002"/>
      <w:bookmarkStart w:id="41" w:name="_Toc51164667"/>
      <w:bookmarkStart w:id="42" w:name="_Toc351203493"/>
      <w:r>
        <w:rPr>
          <w:rFonts w:hint="eastAsia" w:ascii="宋体" w:hAnsi="宋体" w:eastAsia="宋体" w:cs="宋体"/>
          <w:b/>
          <w:color w:val="auto"/>
          <w:kern w:val="0"/>
          <w:sz w:val="21"/>
          <w:szCs w:val="21"/>
          <w:highlight w:val="none"/>
          <w:lang w:val="en-US" w:eastAsia="zh-CN" w:bidi="ar-SA"/>
        </w:rPr>
        <w:t>十三、合同份数</w:t>
      </w:r>
      <w:bookmarkEnd w:id="40"/>
      <w:bookmarkEnd w:id="41"/>
      <w:bookmarkEnd w:id="42"/>
    </w:p>
    <w:p w14:paraId="7F1DAE0C">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color w:val="auto"/>
          <w:sz w:val="21"/>
          <w:szCs w:val="21"/>
          <w:highlight w:val="none"/>
          <w:lang w:val="en-US" w:eastAsia="zh-CN"/>
        </w:rPr>
        <w:t>陆</w:t>
      </w:r>
      <w:r>
        <w:rPr>
          <w:rFonts w:hint="eastAsia" w:ascii="宋体" w:hAnsi="宋体" w:eastAsia="宋体" w:cs="宋体"/>
          <w:bCs/>
          <w:color w:val="auto"/>
          <w:sz w:val="21"/>
          <w:szCs w:val="21"/>
          <w:highlight w:val="none"/>
        </w:rPr>
        <w:t>份，均具有同等法律效力，发包人执</w:t>
      </w:r>
      <w:r>
        <w:rPr>
          <w:rFonts w:hint="eastAsia" w:ascii="宋体" w:hAnsi="宋体" w:eastAsia="宋体" w:cs="宋体"/>
          <w:color w:val="auto"/>
          <w:sz w:val="21"/>
          <w:szCs w:val="21"/>
          <w:highlight w:val="none"/>
          <w:lang w:val="en-US" w:eastAsia="zh-CN"/>
        </w:rPr>
        <w:t>叁</w:t>
      </w:r>
      <w:r>
        <w:rPr>
          <w:rFonts w:hint="eastAsia" w:ascii="宋体" w:hAnsi="宋体" w:eastAsia="宋体" w:cs="宋体"/>
          <w:bCs/>
          <w:color w:val="auto"/>
          <w:sz w:val="21"/>
          <w:szCs w:val="21"/>
          <w:highlight w:val="none"/>
        </w:rPr>
        <w:t>份，承包人执</w:t>
      </w:r>
      <w:r>
        <w:rPr>
          <w:rFonts w:hint="eastAsia" w:ascii="宋体" w:hAnsi="宋体" w:eastAsia="宋体" w:cs="宋体"/>
          <w:color w:val="auto"/>
          <w:sz w:val="21"/>
          <w:szCs w:val="21"/>
          <w:highlight w:val="none"/>
          <w:lang w:val="en-US" w:eastAsia="zh-CN"/>
        </w:rPr>
        <w:t>贰</w:t>
      </w:r>
      <w:r>
        <w:rPr>
          <w:rFonts w:hint="eastAsia" w:ascii="宋体" w:hAnsi="宋体" w:eastAsia="宋体" w:cs="宋体"/>
          <w:bCs/>
          <w:color w:val="auto"/>
          <w:sz w:val="21"/>
          <w:szCs w:val="21"/>
          <w:highlight w:val="none"/>
        </w:rPr>
        <w:t>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代理机构执壹份</w:t>
      </w:r>
      <w:r>
        <w:rPr>
          <w:rFonts w:hint="eastAsia" w:ascii="宋体" w:hAnsi="宋体" w:eastAsia="宋体" w:cs="宋体"/>
          <w:bCs/>
          <w:color w:val="auto"/>
          <w:sz w:val="21"/>
          <w:szCs w:val="21"/>
          <w:highlight w:val="none"/>
        </w:rPr>
        <w:t>。</w:t>
      </w:r>
    </w:p>
    <w:p w14:paraId="0A66DFFF">
      <w:pPr>
        <w:pageBreakBefore w:val="0"/>
        <w:widowControl w:val="0"/>
        <w:kinsoku/>
        <w:wordWrap/>
        <w:overflowPunct/>
        <w:topLinePunct w:val="0"/>
        <w:bidi w:val="0"/>
        <w:snapToGrid/>
        <w:spacing w:line="360" w:lineRule="exact"/>
        <w:ind w:firstLine="420" w:firstLineChars="200"/>
        <w:jc w:val="both"/>
        <w:textAlignment w:val="auto"/>
        <w:rPr>
          <w:rFonts w:hint="eastAsia" w:ascii="宋体" w:hAnsi="宋体" w:eastAsia="宋体" w:cs="宋体"/>
          <w:kern w:val="2"/>
          <w:sz w:val="21"/>
          <w:szCs w:val="21"/>
          <w:lang w:val="zh-CN" w:eastAsia="zh-CN" w:bidi="ar-SA"/>
        </w:rPr>
      </w:pPr>
    </w:p>
    <w:tbl>
      <w:tblPr>
        <w:tblStyle w:val="13"/>
        <w:tblW w:w="9282" w:type="dxa"/>
        <w:jc w:val="center"/>
        <w:tblLayout w:type="fixed"/>
        <w:tblCellMar>
          <w:top w:w="0" w:type="dxa"/>
          <w:left w:w="108" w:type="dxa"/>
          <w:bottom w:w="0" w:type="dxa"/>
          <w:right w:w="108" w:type="dxa"/>
        </w:tblCellMar>
      </w:tblPr>
      <w:tblGrid>
        <w:gridCol w:w="4647"/>
        <w:gridCol w:w="4635"/>
      </w:tblGrid>
      <w:tr w14:paraId="73D60DF0">
        <w:tblPrEx>
          <w:tblCellMar>
            <w:top w:w="0" w:type="dxa"/>
            <w:left w:w="108" w:type="dxa"/>
            <w:bottom w:w="0" w:type="dxa"/>
            <w:right w:w="108" w:type="dxa"/>
          </w:tblCellMar>
        </w:tblPrEx>
        <w:trPr>
          <w:jc w:val="center"/>
        </w:trPr>
        <w:tc>
          <w:tcPr>
            <w:tcW w:w="4647" w:type="dxa"/>
            <w:noWrap w:val="0"/>
            <w:vAlign w:val="top"/>
          </w:tcPr>
          <w:p w14:paraId="6B2E2C7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发包人：(公章)</w:t>
            </w:r>
          </w:p>
        </w:tc>
        <w:tc>
          <w:tcPr>
            <w:tcW w:w="4635" w:type="dxa"/>
            <w:noWrap w:val="0"/>
            <w:vAlign w:val="top"/>
          </w:tcPr>
          <w:p w14:paraId="7C07A860">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承包人：(公章)</w:t>
            </w:r>
          </w:p>
        </w:tc>
      </w:tr>
      <w:tr w14:paraId="3018306B">
        <w:tblPrEx>
          <w:tblCellMar>
            <w:top w:w="0" w:type="dxa"/>
            <w:left w:w="108" w:type="dxa"/>
            <w:bottom w:w="0" w:type="dxa"/>
            <w:right w:w="108" w:type="dxa"/>
          </w:tblCellMar>
        </w:tblPrEx>
        <w:trPr>
          <w:jc w:val="center"/>
        </w:trPr>
        <w:tc>
          <w:tcPr>
            <w:tcW w:w="4647" w:type="dxa"/>
            <w:noWrap w:val="0"/>
            <w:vAlign w:val="top"/>
          </w:tcPr>
          <w:p w14:paraId="27FA7928">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p>
          <w:p w14:paraId="1D6DE745">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tc>
        <w:tc>
          <w:tcPr>
            <w:tcW w:w="4635" w:type="dxa"/>
            <w:noWrap w:val="0"/>
            <w:vAlign w:val="top"/>
          </w:tcPr>
          <w:p w14:paraId="6308160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p>
          <w:p w14:paraId="431F3A5C">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tc>
      </w:tr>
      <w:tr w14:paraId="784A4D46">
        <w:tblPrEx>
          <w:tblCellMar>
            <w:top w:w="0" w:type="dxa"/>
            <w:left w:w="108" w:type="dxa"/>
            <w:bottom w:w="0" w:type="dxa"/>
            <w:right w:w="108" w:type="dxa"/>
          </w:tblCellMar>
        </w:tblPrEx>
        <w:trPr>
          <w:jc w:val="center"/>
        </w:trPr>
        <w:tc>
          <w:tcPr>
            <w:tcW w:w="4647" w:type="dxa"/>
            <w:noWrap w:val="0"/>
            <w:vAlign w:val="top"/>
          </w:tcPr>
          <w:p w14:paraId="210BEB21">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p>
        </w:tc>
        <w:tc>
          <w:tcPr>
            <w:tcW w:w="4635" w:type="dxa"/>
            <w:noWrap w:val="0"/>
            <w:vAlign w:val="top"/>
          </w:tcPr>
          <w:p w14:paraId="3D0907EF">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p>
        </w:tc>
      </w:tr>
      <w:tr w14:paraId="6450418A">
        <w:tblPrEx>
          <w:tblCellMar>
            <w:top w:w="0" w:type="dxa"/>
            <w:left w:w="108" w:type="dxa"/>
            <w:bottom w:w="0" w:type="dxa"/>
            <w:right w:w="108" w:type="dxa"/>
          </w:tblCellMar>
        </w:tblPrEx>
        <w:trPr>
          <w:jc w:val="center"/>
        </w:trPr>
        <w:tc>
          <w:tcPr>
            <w:tcW w:w="4647" w:type="dxa"/>
            <w:noWrap w:val="0"/>
            <w:vAlign w:val="top"/>
          </w:tcPr>
          <w:p w14:paraId="673A1213">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p>
        </w:tc>
        <w:tc>
          <w:tcPr>
            <w:tcW w:w="4635" w:type="dxa"/>
            <w:noWrap w:val="0"/>
            <w:vAlign w:val="top"/>
          </w:tcPr>
          <w:p w14:paraId="6AAFFC4F">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p>
        </w:tc>
      </w:tr>
      <w:tr w14:paraId="7FB5F364">
        <w:tblPrEx>
          <w:tblCellMar>
            <w:top w:w="0" w:type="dxa"/>
            <w:left w:w="108" w:type="dxa"/>
            <w:bottom w:w="0" w:type="dxa"/>
            <w:right w:w="108" w:type="dxa"/>
          </w:tblCellMar>
        </w:tblPrEx>
        <w:trPr>
          <w:jc w:val="center"/>
        </w:trPr>
        <w:tc>
          <w:tcPr>
            <w:tcW w:w="4647" w:type="dxa"/>
            <w:noWrap w:val="0"/>
            <w:vAlign w:val="top"/>
          </w:tcPr>
          <w:p w14:paraId="44BDC728">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4635" w:type="dxa"/>
            <w:noWrap w:val="0"/>
            <w:vAlign w:val="top"/>
          </w:tcPr>
          <w:p w14:paraId="72F61EC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52E1FB93">
        <w:tblPrEx>
          <w:tblCellMar>
            <w:top w:w="0" w:type="dxa"/>
            <w:left w:w="108" w:type="dxa"/>
            <w:bottom w:w="0" w:type="dxa"/>
            <w:right w:w="108" w:type="dxa"/>
          </w:tblCellMar>
        </w:tblPrEx>
        <w:trPr>
          <w:jc w:val="center"/>
        </w:trPr>
        <w:tc>
          <w:tcPr>
            <w:tcW w:w="4647" w:type="dxa"/>
            <w:noWrap w:val="0"/>
            <w:vAlign w:val="top"/>
          </w:tcPr>
          <w:p w14:paraId="5F35CD62">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c>
          <w:tcPr>
            <w:tcW w:w="4635" w:type="dxa"/>
            <w:noWrap w:val="0"/>
            <w:vAlign w:val="top"/>
          </w:tcPr>
          <w:p w14:paraId="3765FC18">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r>
      <w:tr w14:paraId="678C5209">
        <w:tblPrEx>
          <w:tblCellMar>
            <w:top w:w="0" w:type="dxa"/>
            <w:left w:w="108" w:type="dxa"/>
            <w:bottom w:w="0" w:type="dxa"/>
            <w:right w:w="108" w:type="dxa"/>
          </w:tblCellMar>
        </w:tblPrEx>
        <w:trPr>
          <w:jc w:val="center"/>
        </w:trPr>
        <w:tc>
          <w:tcPr>
            <w:tcW w:w="4647" w:type="dxa"/>
            <w:noWrap w:val="0"/>
            <w:vAlign w:val="top"/>
          </w:tcPr>
          <w:p w14:paraId="65C1D27A">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4635" w:type="dxa"/>
            <w:noWrap w:val="0"/>
            <w:vAlign w:val="top"/>
          </w:tcPr>
          <w:p w14:paraId="686B173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62099012">
        <w:tblPrEx>
          <w:tblCellMar>
            <w:top w:w="0" w:type="dxa"/>
            <w:left w:w="108" w:type="dxa"/>
            <w:bottom w:w="0" w:type="dxa"/>
            <w:right w:w="108" w:type="dxa"/>
          </w:tblCellMar>
        </w:tblPrEx>
        <w:trPr>
          <w:jc w:val="center"/>
        </w:trPr>
        <w:tc>
          <w:tcPr>
            <w:tcW w:w="4647" w:type="dxa"/>
            <w:noWrap w:val="0"/>
            <w:vAlign w:val="top"/>
          </w:tcPr>
          <w:p w14:paraId="2F7663E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635" w:type="dxa"/>
            <w:noWrap w:val="0"/>
            <w:vAlign w:val="top"/>
          </w:tcPr>
          <w:p w14:paraId="0B7FE0C7">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3665B8A3">
        <w:tblPrEx>
          <w:tblCellMar>
            <w:top w:w="0" w:type="dxa"/>
            <w:left w:w="108" w:type="dxa"/>
            <w:bottom w:w="0" w:type="dxa"/>
            <w:right w:w="108" w:type="dxa"/>
          </w:tblCellMar>
        </w:tblPrEx>
        <w:trPr>
          <w:jc w:val="center"/>
        </w:trPr>
        <w:tc>
          <w:tcPr>
            <w:tcW w:w="4647" w:type="dxa"/>
            <w:noWrap w:val="0"/>
            <w:vAlign w:val="top"/>
          </w:tcPr>
          <w:p w14:paraId="3CD0FE64">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p>
        </w:tc>
        <w:tc>
          <w:tcPr>
            <w:tcW w:w="4635" w:type="dxa"/>
            <w:noWrap w:val="0"/>
            <w:vAlign w:val="top"/>
          </w:tcPr>
          <w:p w14:paraId="752AB9B7">
            <w:pPr>
              <w:pageBreakBefore w:val="0"/>
              <w:widowControl w:val="0"/>
              <w:kinsoku/>
              <w:wordWrap/>
              <w:overflowPunct/>
              <w:topLinePunct w:val="0"/>
              <w:bidi w:val="0"/>
              <w:snapToGrid/>
              <w:spacing w:line="360" w:lineRule="exact"/>
              <w:jc w:val="left"/>
              <w:textAlignment w:val="auto"/>
              <w:rPr>
                <w:rFonts w:hint="eastAsia" w:ascii="宋体" w:hAnsi="宋体" w:eastAsia="宋体" w:cs="宋体"/>
                <w:kern w:val="2"/>
                <w:sz w:val="21"/>
                <w:szCs w:val="21"/>
                <w:lang w:val="zh-CN" w:eastAsia="zh-CN" w:bidi="ar-SA"/>
              </w:rPr>
            </w:pPr>
            <w:r>
              <w:rPr>
                <w:rFonts w:hint="eastAsia" w:ascii="宋体" w:hAnsi="宋体" w:eastAsia="宋体" w:cs="宋体"/>
                <w:color w:val="auto"/>
                <w:sz w:val="21"/>
                <w:szCs w:val="21"/>
                <w:highlight w:val="none"/>
              </w:rPr>
              <w:t>账  号：</w:t>
            </w:r>
          </w:p>
        </w:tc>
      </w:tr>
    </w:tbl>
    <w:p w14:paraId="385001AE">
      <w:pPr>
        <w:spacing w:line="360" w:lineRule="auto"/>
        <w:ind w:firstLine="420" w:firstLineChars="200"/>
        <w:rPr>
          <w:rFonts w:ascii="宋体" w:hAnsi="宋体" w:eastAsia="宋体" w:cs="宋体"/>
          <w:szCs w:val="21"/>
        </w:rPr>
      </w:pPr>
    </w:p>
    <w:p w14:paraId="758B08A2">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14:paraId="1121F0C3">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auto"/>
        <w:outlineLvl w:val="1"/>
        <w:rPr>
          <w:rFonts w:hint="eastAsia" w:ascii="宋体" w:hAnsi="宋体" w:eastAsia="宋体" w:cs="宋体"/>
          <w:b/>
          <w:color w:val="auto"/>
          <w:kern w:val="0"/>
          <w:sz w:val="24"/>
          <w:szCs w:val="24"/>
          <w:highlight w:val="none"/>
          <w:lang w:val="en-US" w:eastAsia="zh-CN"/>
        </w:rPr>
      </w:pPr>
      <w:bookmarkStart w:id="43" w:name="_Toc51164668"/>
      <w:bookmarkStart w:id="44" w:name="_Toc7479"/>
      <w:bookmarkStart w:id="45" w:name="OLE_LINK32"/>
      <w:bookmarkStart w:id="46" w:name="_Toc498006745"/>
      <w:r>
        <w:rPr>
          <w:rFonts w:hint="eastAsia" w:ascii="宋体" w:hAnsi="宋体" w:eastAsia="宋体" w:cs="宋体"/>
          <w:b/>
          <w:color w:val="auto"/>
          <w:kern w:val="0"/>
          <w:sz w:val="24"/>
          <w:szCs w:val="24"/>
          <w:highlight w:val="none"/>
          <w:lang w:val="en-US" w:eastAsia="zh-CN"/>
        </w:rPr>
        <w:t>第二部分 通用合同条款</w:t>
      </w:r>
      <w:bookmarkEnd w:id="43"/>
      <w:bookmarkEnd w:id="44"/>
      <w:bookmarkEnd w:id="45"/>
      <w:bookmarkEnd w:id="46"/>
    </w:p>
    <w:p w14:paraId="4AE827EA">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 w:val="21"/>
          <w:szCs w:val="21"/>
          <w:highlight w:val="none"/>
        </w:rPr>
      </w:pPr>
    </w:p>
    <w:p w14:paraId="0BF68998">
      <w:pPr>
        <w:pageBreakBefore w:val="0"/>
        <w:widowControl w:val="0"/>
        <w:kinsoku/>
        <w:wordWrap/>
        <w:overflowPunct/>
        <w:topLinePunct w:val="0"/>
        <w:bidi w:val="0"/>
        <w:snapToGrid/>
        <w:spacing w:line="400" w:lineRule="exact"/>
        <w:jc w:val="center"/>
        <w:textAlignment w:val="auto"/>
        <w:rPr>
          <w:rFonts w:hint="eastAsia" w:ascii="宋体" w:hAnsi="宋体" w:eastAsia="宋体" w:cs="宋体"/>
          <w:color w:val="auto"/>
          <w:sz w:val="21"/>
          <w:szCs w:val="21"/>
          <w:highlight w:val="none"/>
        </w:rPr>
      </w:pPr>
      <w:bookmarkStart w:id="47" w:name="OLE_LINK33"/>
      <w:bookmarkStart w:id="48" w:name="OLE_LINK34"/>
      <w:bookmarkStart w:id="49" w:name="OLE_LINK35"/>
      <w:r>
        <w:rPr>
          <w:rFonts w:hint="eastAsia" w:ascii="宋体" w:hAnsi="宋体" w:eastAsia="宋体" w:cs="宋体"/>
          <w:b/>
          <w:color w:val="auto"/>
          <w:kern w:val="0"/>
          <w:sz w:val="21"/>
          <w:szCs w:val="21"/>
          <w:highlight w:val="none"/>
        </w:rPr>
        <w:t>采用《建设工程施工合同（示范文本）》（</w:t>
      </w:r>
      <w:r>
        <w:rPr>
          <w:rFonts w:hint="eastAsia" w:ascii="宋体" w:hAnsi="宋体" w:eastAsia="宋体" w:cs="宋体"/>
          <w:b/>
          <w:color w:val="auto"/>
          <w:kern w:val="0"/>
          <w:sz w:val="21"/>
          <w:szCs w:val="21"/>
          <w:highlight w:val="none"/>
          <w:lang w:eastAsia="zh-CN"/>
        </w:rPr>
        <w:t>GF—2017—0201</w:t>
      </w:r>
      <w:r>
        <w:rPr>
          <w:rFonts w:hint="eastAsia" w:ascii="宋体" w:hAnsi="宋体" w:eastAsia="宋体" w:cs="宋体"/>
          <w:b/>
          <w:color w:val="auto"/>
          <w:kern w:val="0"/>
          <w:sz w:val="21"/>
          <w:szCs w:val="21"/>
          <w:highlight w:val="none"/>
        </w:rPr>
        <w:t>）。</w:t>
      </w:r>
      <w:bookmarkEnd w:id="47"/>
      <w:bookmarkEnd w:id="48"/>
      <w:bookmarkEnd w:id="49"/>
    </w:p>
    <w:p w14:paraId="11B43B4D">
      <w:pPr>
        <w:pageBreakBefore w:val="0"/>
        <w:widowControl w:val="0"/>
        <w:tabs>
          <w:tab w:val="left" w:pos="0"/>
        </w:tabs>
        <w:kinsoku/>
        <w:wordWrap/>
        <w:overflowPunct/>
        <w:topLinePunct w:val="0"/>
        <w:bidi w:val="0"/>
        <w:snapToGrid/>
        <w:spacing w:line="400" w:lineRule="exact"/>
        <w:ind w:right="-36" w:firstLine="529" w:firstLineChars="252"/>
        <w:textAlignment w:val="auto"/>
        <w:rPr>
          <w:rFonts w:hint="eastAsia" w:ascii="宋体" w:hAnsi="宋体" w:eastAsia="宋体" w:cs="宋体"/>
          <w:color w:val="auto"/>
          <w:sz w:val="21"/>
          <w:szCs w:val="21"/>
          <w:highlight w:val="none"/>
        </w:rPr>
      </w:pPr>
    </w:p>
    <w:p w14:paraId="43C9AB85">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auto"/>
        <w:outlineLvl w:val="1"/>
        <w:rPr>
          <w:rFonts w:hint="eastAsia" w:ascii="宋体" w:hAnsi="宋体" w:eastAsia="宋体" w:cs="宋体"/>
          <w:b/>
          <w:color w:val="auto"/>
          <w:kern w:val="0"/>
          <w:sz w:val="24"/>
          <w:szCs w:val="24"/>
          <w:highlight w:val="none"/>
          <w:lang w:val="en-US" w:eastAsia="zh-CN"/>
        </w:rPr>
      </w:pPr>
      <w:bookmarkStart w:id="50" w:name="_Toc51164669"/>
      <w:bookmarkStart w:id="51" w:name="_Toc11882"/>
      <w:bookmarkStart w:id="52" w:name="_Toc498006746"/>
      <w:bookmarkStart w:id="53" w:name="OLE_LINK37"/>
      <w:bookmarkStart w:id="54" w:name="OLE_LINK36"/>
      <w:r>
        <w:rPr>
          <w:rFonts w:hint="eastAsia" w:ascii="宋体" w:hAnsi="宋体" w:eastAsia="宋体" w:cs="宋体"/>
          <w:b/>
          <w:color w:val="auto"/>
          <w:kern w:val="0"/>
          <w:sz w:val="24"/>
          <w:szCs w:val="24"/>
          <w:highlight w:val="none"/>
          <w:lang w:val="en-US" w:eastAsia="zh-CN"/>
        </w:rPr>
        <w:t>第三部分 专用合同条款</w:t>
      </w:r>
      <w:bookmarkEnd w:id="50"/>
      <w:bookmarkEnd w:id="51"/>
      <w:bookmarkEnd w:id="52"/>
    </w:p>
    <w:p w14:paraId="0F391F2E">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5" w:name="_Toc1307"/>
      <w:bookmarkStart w:id="56" w:name="_Toc351203633"/>
      <w:bookmarkStart w:id="57" w:name="_Toc51164670"/>
      <w:r>
        <w:rPr>
          <w:rFonts w:hint="eastAsia" w:ascii="宋体" w:hAnsi="宋体" w:eastAsia="宋体" w:cs="宋体"/>
          <w:b/>
          <w:color w:val="auto"/>
          <w:kern w:val="0"/>
          <w:sz w:val="21"/>
          <w:szCs w:val="21"/>
          <w:highlight w:val="none"/>
          <w:lang w:val="en-US" w:eastAsia="zh-CN" w:bidi="ar-SA"/>
        </w:rPr>
        <w:t>1</w:t>
      </w:r>
      <w:bookmarkStart w:id="58" w:name="_Toc296503156"/>
      <w:bookmarkStart w:id="59" w:name="_Toc292559866"/>
      <w:bookmarkStart w:id="60" w:name="_Toc296890984"/>
      <w:bookmarkStart w:id="61" w:name="_Toc292559361"/>
      <w:bookmarkStart w:id="62" w:name="_Toc297120456"/>
      <w:bookmarkStart w:id="63" w:name="_Toc296944495"/>
      <w:bookmarkStart w:id="64" w:name="_Toc296346657"/>
      <w:bookmarkStart w:id="65" w:name="_Toc296347155"/>
      <w:bookmarkStart w:id="66" w:name="_Toc296891196"/>
      <w:bookmarkStart w:id="67" w:name="_Toc297048342"/>
      <w:r>
        <w:rPr>
          <w:rFonts w:hint="eastAsia" w:ascii="宋体" w:hAnsi="宋体" w:eastAsia="宋体" w:cs="宋体"/>
          <w:b/>
          <w:color w:val="auto"/>
          <w:kern w:val="0"/>
          <w:sz w:val="21"/>
          <w:szCs w:val="21"/>
          <w:highlight w:val="none"/>
          <w:lang w:val="en-US" w:eastAsia="zh-CN" w:bidi="ar-SA"/>
        </w:rPr>
        <w:t>. 一般约定</w:t>
      </w:r>
      <w:bookmarkEnd w:id="55"/>
      <w:bookmarkEnd w:id="56"/>
      <w:bookmarkEnd w:id="57"/>
    </w:p>
    <w:bookmarkEnd w:id="58"/>
    <w:bookmarkEnd w:id="59"/>
    <w:bookmarkEnd w:id="60"/>
    <w:bookmarkEnd w:id="61"/>
    <w:bookmarkEnd w:id="62"/>
    <w:bookmarkEnd w:id="63"/>
    <w:bookmarkEnd w:id="64"/>
    <w:bookmarkEnd w:id="65"/>
    <w:bookmarkEnd w:id="66"/>
    <w:bookmarkEnd w:id="67"/>
    <w:p w14:paraId="1DF62FC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词语定义</w:t>
      </w:r>
    </w:p>
    <w:p w14:paraId="0E4B12D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 合同</w:t>
      </w:r>
    </w:p>
    <w:p w14:paraId="318A190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1.1.1.10 其他合同文件包括：</w:t>
      </w:r>
      <w:r>
        <w:rPr>
          <w:rFonts w:hint="eastAsia" w:ascii="宋体" w:hAnsi="宋体" w:eastAsia="宋体" w:cs="宋体"/>
          <w:bCs/>
          <w:color w:val="auto"/>
          <w:sz w:val="21"/>
          <w:szCs w:val="21"/>
          <w:highlight w:val="none"/>
          <w:u w:val="single"/>
        </w:rPr>
        <w:t>招标文件、答疑纪要、工程量清单及编制说明</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lang w:val="en-US" w:eastAsia="zh-CN"/>
        </w:rPr>
        <w:t>如有</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文件及双方其他书面约定</w:t>
      </w:r>
      <w:r>
        <w:rPr>
          <w:rFonts w:hint="eastAsia" w:ascii="宋体" w:hAnsi="宋体" w:eastAsia="宋体" w:cs="宋体"/>
          <w:color w:val="auto"/>
          <w:sz w:val="21"/>
          <w:szCs w:val="21"/>
          <w:highlight w:val="none"/>
          <w:u w:val="single"/>
        </w:rPr>
        <w:t>。</w:t>
      </w:r>
    </w:p>
    <w:p w14:paraId="63F7587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合同当事人及其他相关方</w:t>
      </w:r>
    </w:p>
    <w:p w14:paraId="3B3754C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监理人：</w:t>
      </w:r>
    </w:p>
    <w:p w14:paraId="07ADA35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BAFEA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8098B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4E7D68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设计人：</w:t>
      </w:r>
    </w:p>
    <w:p w14:paraId="5D5D589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263F8E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01EBF9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11F896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工程和设备</w:t>
      </w:r>
    </w:p>
    <w:p w14:paraId="19198F8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1.1.3.7 作为施工现场组成部分的其他场所包括：</w:t>
      </w:r>
      <w:r>
        <w:rPr>
          <w:rFonts w:hint="eastAsia" w:ascii="宋体" w:hAnsi="宋体" w:eastAsia="宋体" w:cs="宋体"/>
          <w:bCs/>
          <w:color w:val="auto"/>
          <w:sz w:val="21"/>
          <w:szCs w:val="21"/>
          <w:highlight w:val="none"/>
          <w:u w:val="single"/>
        </w:rPr>
        <w:t>现场临时办公及施工场地</w:t>
      </w:r>
      <w:r>
        <w:rPr>
          <w:rFonts w:hint="eastAsia" w:ascii="宋体" w:hAnsi="宋体" w:eastAsia="宋体" w:cs="宋体"/>
          <w:color w:val="auto"/>
          <w:sz w:val="21"/>
          <w:szCs w:val="21"/>
          <w:highlight w:val="none"/>
          <w:u w:val="single"/>
        </w:rPr>
        <w:t>。</w:t>
      </w:r>
    </w:p>
    <w:p w14:paraId="1703837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1.1.3.9 永久占地包括：</w:t>
      </w:r>
      <w:r>
        <w:rPr>
          <w:rFonts w:hint="eastAsia" w:ascii="宋体" w:hAnsi="宋体" w:eastAsia="宋体" w:cs="宋体"/>
          <w:bCs/>
          <w:color w:val="auto"/>
          <w:sz w:val="21"/>
          <w:szCs w:val="21"/>
          <w:highlight w:val="none"/>
          <w:u w:val="single"/>
        </w:rPr>
        <w:t>按照设计图纸确定</w:t>
      </w:r>
      <w:r>
        <w:rPr>
          <w:rFonts w:hint="eastAsia" w:ascii="宋体" w:hAnsi="宋体" w:eastAsia="宋体" w:cs="宋体"/>
          <w:color w:val="auto"/>
          <w:kern w:val="0"/>
          <w:sz w:val="21"/>
          <w:szCs w:val="21"/>
          <w:highlight w:val="none"/>
          <w:u w:val="single"/>
        </w:rPr>
        <w:t>。</w:t>
      </w:r>
    </w:p>
    <w:p w14:paraId="62B6333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1.1.3.10 临时占地包括：</w:t>
      </w:r>
      <w:r>
        <w:rPr>
          <w:rFonts w:hint="eastAsia" w:ascii="宋体" w:hAnsi="宋体" w:eastAsia="宋体" w:cs="宋体"/>
          <w:bCs/>
          <w:color w:val="auto"/>
          <w:sz w:val="21"/>
          <w:szCs w:val="21"/>
          <w:highlight w:val="none"/>
          <w:u w:val="single"/>
        </w:rPr>
        <w:t>合同履行中确定</w:t>
      </w:r>
      <w:r>
        <w:rPr>
          <w:rFonts w:hint="eastAsia" w:ascii="宋体" w:hAnsi="宋体" w:eastAsia="宋体" w:cs="宋体"/>
          <w:color w:val="auto"/>
          <w:kern w:val="0"/>
          <w:sz w:val="21"/>
          <w:szCs w:val="21"/>
          <w:highlight w:val="none"/>
          <w:u w:val="single"/>
        </w:rPr>
        <w:t>。</w:t>
      </w:r>
    </w:p>
    <w:p w14:paraId="40085D3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 法律 </w:t>
      </w:r>
    </w:p>
    <w:p w14:paraId="423D4DF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适用于合同的其他规范性文件：</w:t>
      </w:r>
      <w:r>
        <w:rPr>
          <w:rFonts w:hint="eastAsia" w:ascii="宋体" w:hAnsi="宋体" w:eastAsia="宋体" w:cs="宋体"/>
          <w:bCs/>
          <w:color w:val="auto"/>
          <w:sz w:val="21"/>
          <w:szCs w:val="21"/>
          <w:highlight w:val="none"/>
          <w:u w:val="single"/>
        </w:rPr>
        <w:t>《中华人民共和国</w:t>
      </w:r>
      <w:r>
        <w:rPr>
          <w:rFonts w:hint="eastAsia" w:ascii="宋体" w:hAnsi="宋体" w:eastAsia="宋体" w:cs="宋体"/>
          <w:bCs/>
          <w:color w:val="auto"/>
          <w:sz w:val="21"/>
          <w:szCs w:val="21"/>
          <w:highlight w:val="none"/>
          <w:u w:val="single"/>
          <w:lang w:val="en-US" w:eastAsia="zh-CN"/>
        </w:rPr>
        <w:t>民法典</w:t>
      </w:r>
      <w:r>
        <w:rPr>
          <w:rFonts w:hint="eastAsia" w:ascii="宋体" w:hAnsi="宋体" w:eastAsia="宋体" w:cs="宋体"/>
          <w:bCs/>
          <w:color w:val="auto"/>
          <w:sz w:val="21"/>
          <w:szCs w:val="21"/>
          <w:highlight w:val="none"/>
          <w:u w:val="single"/>
        </w:rPr>
        <w:t>》、《中华人民共和国建筑法》、《中华人民共和国招标</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法》、《中华人民共和国招标</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法实施条例》、《中华人民共和国担保法》、《中华人民共和国政府采购法》、《建设工程质量管理条例》、《建设工程安全生产管理条例》及其他相关国家和地方法律、法规、规章</w:t>
      </w:r>
      <w:r>
        <w:rPr>
          <w:rFonts w:hint="eastAsia" w:ascii="宋体" w:hAnsi="宋体" w:eastAsia="宋体" w:cs="宋体"/>
          <w:color w:val="auto"/>
          <w:sz w:val="21"/>
          <w:szCs w:val="21"/>
          <w:highlight w:val="none"/>
          <w:u w:val="single"/>
        </w:rPr>
        <w:t>。</w:t>
      </w:r>
    </w:p>
    <w:p w14:paraId="07740C1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标准和规范</w:t>
      </w:r>
    </w:p>
    <w:p w14:paraId="5B026A96">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1.4.1 适用于工程的标准规范包括：</w:t>
      </w:r>
      <w:r>
        <w:rPr>
          <w:rFonts w:hint="eastAsia" w:ascii="宋体" w:hAnsi="宋体" w:eastAsia="宋体" w:cs="宋体"/>
          <w:bCs/>
          <w:color w:val="auto"/>
          <w:sz w:val="21"/>
          <w:szCs w:val="21"/>
          <w:highlight w:val="none"/>
          <w:u w:val="single"/>
        </w:rPr>
        <w:t>中华人民共和国建设部颁发的有关标准、规范及省、市有关规定，施工图纸以及设计文件所载明的标准、规范、规程</w:t>
      </w:r>
      <w:r>
        <w:rPr>
          <w:rFonts w:hint="eastAsia" w:ascii="宋体" w:hAnsi="宋体" w:eastAsia="宋体" w:cs="宋体"/>
          <w:color w:val="auto"/>
          <w:sz w:val="21"/>
          <w:szCs w:val="21"/>
          <w:highlight w:val="none"/>
          <w:u w:val="single"/>
        </w:rPr>
        <w:t>。</w:t>
      </w:r>
    </w:p>
    <w:p w14:paraId="7DCCF7F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合同文件的优先顺序</w:t>
      </w:r>
    </w:p>
    <w:p w14:paraId="4DCB156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合同文件组成及优先顺序为：</w:t>
      </w:r>
      <w:r>
        <w:rPr>
          <w:rFonts w:hint="eastAsia" w:ascii="宋体" w:hAnsi="宋体" w:eastAsia="宋体" w:cs="宋体"/>
          <w:bCs/>
          <w:color w:val="auto"/>
          <w:sz w:val="21"/>
          <w:szCs w:val="21"/>
          <w:highlight w:val="none"/>
          <w:u w:val="single"/>
        </w:rPr>
        <w:t>（1）合同协议书；（2）中标通知书；（3）</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函及其附录；（4）专用合同条款及其附件；（5）通用合同条款；（6）技术标准和要求；（7）图纸；（8）已标价工程量清单或预算书</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（9）其他文件</w:t>
      </w:r>
      <w:r>
        <w:rPr>
          <w:rFonts w:hint="eastAsia" w:ascii="宋体" w:hAnsi="宋体" w:eastAsia="宋体" w:cs="宋体"/>
          <w:color w:val="auto"/>
          <w:sz w:val="21"/>
          <w:szCs w:val="21"/>
          <w:highlight w:val="none"/>
          <w:u w:val="single"/>
        </w:rPr>
        <w:t>。</w:t>
      </w:r>
    </w:p>
    <w:p w14:paraId="6539932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图纸和承包人文件</w:t>
      </w:r>
    </w:p>
    <w:p w14:paraId="2E3FB14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图纸的提供</w:t>
      </w:r>
    </w:p>
    <w:p w14:paraId="1E2C332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发包人向承包人提供图纸的期限：</w:t>
      </w:r>
      <w:r>
        <w:rPr>
          <w:rFonts w:hint="eastAsia" w:ascii="宋体" w:hAnsi="宋体" w:eastAsia="宋体" w:cs="宋体"/>
          <w:bCs/>
          <w:color w:val="auto"/>
          <w:sz w:val="21"/>
          <w:szCs w:val="21"/>
          <w:highlight w:val="none"/>
          <w:u w:val="single"/>
        </w:rPr>
        <w:t>开工前7天</w:t>
      </w:r>
      <w:r>
        <w:rPr>
          <w:rFonts w:hint="eastAsia" w:ascii="宋体" w:hAnsi="宋体" w:eastAsia="宋体" w:cs="宋体"/>
          <w:color w:val="auto"/>
          <w:sz w:val="21"/>
          <w:szCs w:val="21"/>
          <w:highlight w:val="none"/>
        </w:rPr>
        <w:t>；</w:t>
      </w:r>
    </w:p>
    <w:p w14:paraId="38E5F6A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发包人向承包人提供图纸的数量：</w:t>
      </w:r>
      <w:r>
        <w:rPr>
          <w:rFonts w:hint="eastAsia" w:ascii="宋体" w:hAnsi="宋体" w:eastAsia="宋体" w:cs="宋体"/>
          <w:bCs/>
          <w:color w:val="auto"/>
          <w:sz w:val="21"/>
          <w:szCs w:val="21"/>
          <w:highlight w:val="none"/>
          <w:u w:val="single"/>
          <w:lang w:val="en-US" w:eastAsia="zh-CN"/>
        </w:rPr>
        <w:t>贰</w:t>
      </w:r>
      <w:r>
        <w:rPr>
          <w:rFonts w:hint="eastAsia" w:ascii="宋体" w:hAnsi="宋体" w:eastAsia="宋体" w:cs="宋体"/>
          <w:bCs/>
          <w:color w:val="auto"/>
          <w:sz w:val="21"/>
          <w:szCs w:val="21"/>
          <w:highlight w:val="none"/>
          <w:u w:val="single"/>
        </w:rPr>
        <w:t>套（含竣工后提供竣工图），承包人可自费复印更多份数</w:t>
      </w:r>
      <w:r>
        <w:rPr>
          <w:rFonts w:hint="eastAsia" w:ascii="宋体" w:hAnsi="宋体" w:eastAsia="宋体" w:cs="宋体"/>
          <w:color w:val="auto"/>
          <w:sz w:val="21"/>
          <w:szCs w:val="21"/>
          <w:highlight w:val="none"/>
          <w:u w:val="single"/>
        </w:rPr>
        <w:t>；</w:t>
      </w:r>
    </w:p>
    <w:p w14:paraId="7AE7692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发包人向承包人提供图纸的内容：</w:t>
      </w:r>
      <w:r>
        <w:rPr>
          <w:rFonts w:hint="eastAsia" w:ascii="宋体" w:hAnsi="宋体" w:eastAsia="宋体" w:cs="宋体"/>
          <w:bCs/>
          <w:color w:val="auto"/>
          <w:sz w:val="21"/>
          <w:szCs w:val="21"/>
          <w:highlight w:val="none"/>
          <w:u w:val="single"/>
        </w:rPr>
        <w:t>提供经会审通过的全部施工图纸</w:t>
      </w:r>
      <w:r>
        <w:rPr>
          <w:rFonts w:hint="eastAsia" w:ascii="宋体" w:hAnsi="宋体" w:eastAsia="宋体" w:cs="宋体"/>
          <w:color w:val="auto"/>
          <w:sz w:val="21"/>
          <w:szCs w:val="21"/>
          <w:highlight w:val="none"/>
          <w:u w:val="single"/>
        </w:rPr>
        <w:t>。</w:t>
      </w:r>
    </w:p>
    <w:p w14:paraId="574A3E0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承包人文件</w:t>
      </w:r>
    </w:p>
    <w:p w14:paraId="58EE457B">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需要由承包人提供的文件，包括：</w:t>
      </w:r>
      <w:r>
        <w:rPr>
          <w:rFonts w:hint="eastAsia" w:ascii="宋体" w:hAnsi="宋体" w:eastAsia="宋体" w:cs="宋体"/>
          <w:bCs/>
          <w:color w:val="auto"/>
          <w:sz w:val="21"/>
          <w:szCs w:val="21"/>
          <w:highlight w:val="none"/>
          <w:u w:val="single"/>
        </w:rPr>
        <w:t>包含但不限于发包人和监理人要求的各类报表、施工组织设计、专项方案、工程申报单</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验收资料及竣工资料等</w:t>
      </w:r>
      <w:r>
        <w:rPr>
          <w:rFonts w:hint="eastAsia" w:ascii="宋体" w:hAnsi="宋体" w:eastAsia="宋体" w:cs="宋体"/>
          <w:color w:val="auto"/>
          <w:sz w:val="21"/>
          <w:szCs w:val="21"/>
          <w:highlight w:val="none"/>
          <w:u w:val="single"/>
        </w:rPr>
        <w:t>；</w:t>
      </w:r>
    </w:p>
    <w:p w14:paraId="44B0AA5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承包人提供的文件的期限为：</w:t>
      </w:r>
      <w:r>
        <w:rPr>
          <w:rFonts w:hint="eastAsia" w:ascii="宋体" w:hAnsi="宋体" w:eastAsia="宋体" w:cs="宋体"/>
          <w:bCs/>
          <w:color w:val="auto"/>
          <w:sz w:val="21"/>
          <w:szCs w:val="21"/>
          <w:highlight w:val="none"/>
          <w:u w:val="single"/>
        </w:rPr>
        <w:t>发包人提出要求7天内</w:t>
      </w:r>
      <w:r>
        <w:rPr>
          <w:rFonts w:hint="eastAsia" w:ascii="宋体" w:hAnsi="宋体" w:eastAsia="宋体" w:cs="宋体"/>
          <w:color w:val="auto"/>
          <w:sz w:val="21"/>
          <w:szCs w:val="21"/>
          <w:highlight w:val="none"/>
          <w:u w:val="single"/>
        </w:rPr>
        <w:t>；</w:t>
      </w:r>
    </w:p>
    <w:p w14:paraId="580ED6A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承包人提供的文件的数量为</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一式肆份</w:t>
      </w:r>
      <w:r>
        <w:rPr>
          <w:rFonts w:hint="eastAsia" w:ascii="宋体" w:hAnsi="宋体" w:eastAsia="宋体" w:cs="宋体"/>
          <w:color w:val="auto"/>
          <w:sz w:val="21"/>
          <w:szCs w:val="21"/>
          <w:highlight w:val="none"/>
          <w:u w:val="single"/>
        </w:rPr>
        <w:t>；</w:t>
      </w:r>
    </w:p>
    <w:p w14:paraId="7E562F0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承包人提供的文件的形式为：</w:t>
      </w:r>
      <w:r>
        <w:rPr>
          <w:rFonts w:hint="eastAsia" w:ascii="宋体" w:hAnsi="宋体" w:eastAsia="宋体" w:cs="宋体"/>
          <w:bCs/>
          <w:color w:val="auto"/>
          <w:sz w:val="21"/>
          <w:szCs w:val="21"/>
          <w:highlight w:val="none"/>
          <w:u w:val="single"/>
        </w:rPr>
        <w:t>纸质和电子文件</w:t>
      </w:r>
      <w:r>
        <w:rPr>
          <w:rFonts w:hint="eastAsia" w:ascii="宋体" w:hAnsi="宋体" w:eastAsia="宋体" w:cs="宋体"/>
          <w:color w:val="auto"/>
          <w:sz w:val="21"/>
          <w:szCs w:val="21"/>
          <w:highlight w:val="none"/>
        </w:rPr>
        <w:t>；</w:t>
      </w:r>
    </w:p>
    <w:p w14:paraId="5F1FD43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发包人审批承包人文件的期限：</w:t>
      </w:r>
      <w:r>
        <w:rPr>
          <w:rFonts w:hint="eastAsia" w:ascii="宋体" w:hAnsi="宋体" w:eastAsia="宋体" w:cs="宋体"/>
          <w:bCs/>
          <w:color w:val="auto"/>
          <w:sz w:val="21"/>
          <w:szCs w:val="21"/>
          <w:highlight w:val="none"/>
          <w:u w:val="single"/>
        </w:rPr>
        <w:t>承包人提供相应文件后7天内</w:t>
      </w:r>
      <w:r>
        <w:rPr>
          <w:rFonts w:hint="eastAsia" w:ascii="宋体" w:hAnsi="宋体" w:eastAsia="宋体" w:cs="宋体"/>
          <w:color w:val="auto"/>
          <w:sz w:val="21"/>
          <w:szCs w:val="21"/>
          <w:highlight w:val="none"/>
          <w:u w:val="single"/>
        </w:rPr>
        <w:t>。</w:t>
      </w:r>
    </w:p>
    <w:p w14:paraId="5F899CF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现场图纸准备</w:t>
      </w:r>
    </w:p>
    <w:p w14:paraId="3799D75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关于现场图纸准备的约定：</w:t>
      </w:r>
      <w:r>
        <w:rPr>
          <w:rFonts w:hint="eastAsia" w:ascii="宋体" w:hAnsi="宋体" w:eastAsia="宋体" w:cs="宋体"/>
          <w:bCs/>
          <w:color w:val="auto"/>
          <w:sz w:val="21"/>
          <w:szCs w:val="21"/>
          <w:highlight w:val="none"/>
          <w:u w:val="single"/>
        </w:rPr>
        <w:t>承包人应在施工现场另外保存一套完整的图纸和承包人文件，供发包人、监理人及有关人员进行工程检查时使用</w:t>
      </w:r>
      <w:r>
        <w:rPr>
          <w:rFonts w:hint="eastAsia" w:ascii="宋体" w:hAnsi="宋体" w:eastAsia="宋体" w:cs="宋体"/>
          <w:color w:val="auto"/>
          <w:sz w:val="21"/>
          <w:szCs w:val="21"/>
          <w:highlight w:val="none"/>
          <w:u w:val="single"/>
        </w:rPr>
        <w:t>。</w:t>
      </w:r>
    </w:p>
    <w:p w14:paraId="4414BB3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联络</w:t>
      </w:r>
    </w:p>
    <w:p w14:paraId="2B79411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1.7.1 发包人和承包人应当在</w:t>
      </w:r>
      <w:r>
        <w:rPr>
          <w:rFonts w:hint="eastAsia" w:ascii="宋体" w:hAnsi="宋体" w:eastAsia="宋体" w:cs="宋体"/>
          <w:bCs/>
          <w:color w:val="auto"/>
          <w:sz w:val="21"/>
          <w:szCs w:val="21"/>
          <w:highlight w:val="none"/>
        </w:rPr>
        <w:t>7</w:t>
      </w:r>
      <w:r>
        <w:rPr>
          <w:rFonts w:hint="eastAsia" w:ascii="宋体" w:hAnsi="宋体" w:eastAsia="宋体" w:cs="宋体"/>
          <w:color w:val="auto"/>
          <w:kern w:val="0"/>
          <w:sz w:val="21"/>
          <w:szCs w:val="21"/>
          <w:highlight w:val="none"/>
        </w:rPr>
        <w:t>天内将与合同有关的通知、批准、证明、证书、指示、指令、要求、请求、同意、意见、确定和决定等书面函件送达对方当事人。</w:t>
      </w:r>
    </w:p>
    <w:p w14:paraId="0F6ED3C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1.7.2 发包人接收文件的地点：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527315D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发包人指定的接收人为：</w:t>
      </w:r>
      <w:r>
        <w:rPr>
          <w:rFonts w:hint="eastAsia" w:ascii="宋体" w:hAnsi="宋体" w:eastAsia="宋体" w:cs="宋体"/>
          <w:bCs/>
          <w:color w:val="auto"/>
          <w:sz w:val="21"/>
          <w:szCs w:val="21"/>
          <w:highlight w:val="none"/>
          <w:u w:val="single"/>
        </w:rPr>
        <w:t>发包人代表或其授权代表</w:t>
      </w:r>
      <w:r>
        <w:rPr>
          <w:rFonts w:hint="eastAsia" w:ascii="宋体" w:hAnsi="宋体" w:eastAsia="宋体" w:cs="宋体"/>
          <w:color w:val="auto"/>
          <w:kern w:val="0"/>
          <w:sz w:val="21"/>
          <w:szCs w:val="21"/>
          <w:highlight w:val="none"/>
          <w:u w:val="single"/>
        </w:rPr>
        <w:t>。</w:t>
      </w:r>
    </w:p>
    <w:p w14:paraId="15717FE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2A7D2C9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承包人指定的接收人为：</w:t>
      </w:r>
      <w:r>
        <w:rPr>
          <w:rFonts w:hint="eastAsia" w:ascii="宋体" w:hAnsi="宋体" w:eastAsia="宋体" w:cs="宋体"/>
          <w:bCs/>
          <w:color w:val="auto"/>
          <w:sz w:val="21"/>
          <w:szCs w:val="21"/>
          <w:highlight w:val="none"/>
          <w:u w:val="single"/>
        </w:rPr>
        <w:t>项目经理或其授权代表</w:t>
      </w:r>
      <w:r>
        <w:rPr>
          <w:rFonts w:hint="eastAsia" w:ascii="宋体" w:hAnsi="宋体" w:eastAsia="宋体" w:cs="宋体"/>
          <w:color w:val="auto"/>
          <w:kern w:val="0"/>
          <w:sz w:val="21"/>
          <w:szCs w:val="21"/>
          <w:highlight w:val="none"/>
          <w:u w:val="single"/>
        </w:rPr>
        <w:t>。</w:t>
      </w:r>
    </w:p>
    <w:p w14:paraId="4C26A25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6E1096F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监理人指定的接收人为：</w:t>
      </w:r>
      <w:r>
        <w:rPr>
          <w:rFonts w:hint="eastAsia" w:ascii="宋体" w:hAnsi="宋体" w:eastAsia="宋体" w:cs="宋体"/>
          <w:bCs/>
          <w:color w:val="auto"/>
          <w:sz w:val="21"/>
          <w:szCs w:val="21"/>
          <w:highlight w:val="none"/>
          <w:u w:val="single"/>
        </w:rPr>
        <w:t>总监理工程师或其授权代表</w:t>
      </w:r>
      <w:r>
        <w:rPr>
          <w:rFonts w:hint="eastAsia" w:ascii="宋体" w:hAnsi="宋体" w:eastAsia="宋体" w:cs="宋体"/>
          <w:color w:val="auto"/>
          <w:kern w:val="0"/>
          <w:sz w:val="21"/>
          <w:szCs w:val="21"/>
          <w:highlight w:val="none"/>
          <w:u w:val="single"/>
        </w:rPr>
        <w:t>。</w:t>
      </w:r>
    </w:p>
    <w:p w14:paraId="1AE0DD3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 交通运输</w:t>
      </w:r>
    </w:p>
    <w:p w14:paraId="2A53417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68" w:name="_Toc303539100"/>
      <w:bookmarkStart w:id="69" w:name="_Toc318581155"/>
      <w:bookmarkStart w:id="70" w:name="_Toc304295521"/>
      <w:bookmarkStart w:id="71" w:name="_Toc312677986"/>
      <w:bookmarkStart w:id="72" w:name="_Toc300934943"/>
      <w:r>
        <w:rPr>
          <w:rFonts w:hint="eastAsia" w:ascii="宋体" w:hAnsi="宋体" w:eastAsia="宋体" w:cs="宋体"/>
          <w:color w:val="auto"/>
          <w:sz w:val="21"/>
          <w:szCs w:val="21"/>
          <w:highlight w:val="none"/>
        </w:rPr>
        <w:t>.10.1 出入现场的权利</w:t>
      </w:r>
    </w:p>
    <w:p w14:paraId="41806C3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关于出入现场的权利的约定：</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bookmarkEnd w:id="68"/>
    <w:bookmarkEnd w:id="69"/>
    <w:bookmarkEnd w:id="70"/>
    <w:bookmarkEnd w:id="71"/>
    <w:bookmarkEnd w:id="72"/>
    <w:p w14:paraId="0E62427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73" w:name="_Toc318581156"/>
      <w:bookmarkStart w:id="74" w:name="_Toc300934944"/>
      <w:bookmarkStart w:id="75" w:name="_Toc312677987"/>
      <w:bookmarkStart w:id="76" w:name="_Toc304295522"/>
      <w:bookmarkStart w:id="77" w:name="_Toc303539101"/>
      <w:r>
        <w:rPr>
          <w:rFonts w:hint="eastAsia" w:ascii="宋体" w:hAnsi="宋体" w:eastAsia="宋体" w:cs="宋体"/>
          <w:color w:val="auto"/>
          <w:sz w:val="21"/>
          <w:szCs w:val="21"/>
          <w:highlight w:val="none"/>
        </w:rPr>
        <w:t>.10.3 场内交通</w:t>
      </w:r>
    </w:p>
    <w:p w14:paraId="42DF47F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关于场外交通和场内交通的边界的约定：</w:t>
      </w:r>
      <w:r>
        <w:rPr>
          <w:rFonts w:hint="eastAsia" w:ascii="宋体" w:hAnsi="宋体" w:eastAsia="宋体" w:cs="宋体"/>
          <w:bCs/>
          <w:color w:val="auto"/>
          <w:sz w:val="21"/>
          <w:szCs w:val="21"/>
          <w:highlight w:val="none"/>
          <w:u w:val="single"/>
        </w:rPr>
        <w:t>以规划总平图红线为边界</w:t>
      </w:r>
      <w:r>
        <w:rPr>
          <w:rFonts w:hint="eastAsia" w:ascii="宋体" w:hAnsi="宋体" w:eastAsia="宋体" w:cs="宋体"/>
          <w:color w:val="auto"/>
          <w:sz w:val="21"/>
          <w:szCs w:val="21"/>
          <w:highlight w:val="none"/>
          <w:u w:val="single"/>
        </w:rPr>
        <w:t>。</w:t>
      </w:r>
    </w:p>
    <w:p w14:paraId="3660CD3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关于发包人向承包人免费提供满足工程施工需要的场内道路和交通设施的约定：</w:t>
      </w:r>
      <w:r>
        <w:rPr>
          <w:rFonts w:hint="eastAsia" w:ascii="宋体" w:hAnsi="宋体" w:eastAsia="宋体" w:cs="宋体"/>
          <w:bCs/>
          <w:color w:val="auto"/>
          <w:sz w:val="21"/>
          <w:szCs w:val="21"/>
          <w:highlight w:val="none"/>
          <w:u w:val="single"/>
        </w:rPr>
        <w:t>以现场实际施工条件为准</w:t>
      </w:r>
      <w:r>
        <w:rPr>
          <w:rFonts w:hint="eastAsia" w:ascii="宋体" w:hAnsi="宋体" w:eastAsia="宋体" w:cs="宋体"/>
          <w:color w:val="auto"/>
          <w:sz w:val="21"/>
          <w:szCs w:val="21"/>
          <w:highlight w:val="none"/>
          <w:u w:val="single"/>
        </w:rPr>
        <w:t>。</w:t>
      </w:r>
      <w:bookmarkEnd w:id="73"/>
      <w:bookmarkEnd w:id="74"/>
      <w:bookmarkEnd w:id="75"/>
      <w:bookmarkEnd w:id="76"/>
      <w:bookmarkEnd w:id="77"/>
      <w:bookmarkStart w:id="78" w:name="_Toc318581157"/>
    </w:p>
    <w:p w14:paraId="6BC430E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1.10.4 超大件和超重件的运输</w:t>
      </w:r>
    </w:p>
    <w:p w14:paraId="58A9DE5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运输超大件或超重件所需的道路和桥梁临时加固改造费用和其他有关费用由</w:t>
      </w:r>
      <w:r>
        <w:rPr>
          <w:rFonts w:hint="eastAsia" w:ascii="宋体" w:hAnsi="宋体" w:eastAsia="宋体" w:cs="宋体"/>
          <w:bCs/>
          <w:color w:val="auto"/>
          <w:sz w:val="21"/>
          <w:szCs w:val="21"/>
          <w:highlight w:val="none"/>
        </w:rPr>
        <w:t>承包人</w:t>
      </w:r>
      <w:r>
        <w:rPr>
          <w:rFonts w:hint="eastAsia" w:ascii="宋体" w:hAnsi="宋体" w:eastAsia="宋体" w:cs="宋体"/>
          <w:color w:val="auto"/>
          <w:sz w:val="21"/>
          <w:szCs w:val="21"/>
          <w:highlight w:val="none"/>
        </w:rPr>
        <w:t>承担。</w:t>
      </w:r>
    </w:p>
    <w:bookmarkEnd w:id="78"/>
    <w:p w14:paraId="27C6AE9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知识产权</w:t>
      </w:r>
    </w:p>
    <w:p w14:paraId="03025BB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Cs/>
          <w:color w:val="auto"/>
          <w:sz w:val="21"/>
          <w:szCs w:val="21"/>
          <w:highlight w:val="none"/>
          <w:u w:val="single"/>
        </w:rPr>
        <w:t>归发包人所有</w:t>
      </w:r>
      <w:r>
        <w:rPr>
          <w:rFonts w:hint="eastAsia" w:ascii="宋体" w:hAnsi="宋体" w:eastAsia="宋体" w:cs="宋体"/>
          <w:color w:val="auto"/>
          <w:sz w:val="21"/>
          <w:szCs w:val="21"/>
          <w:highlight w:val="none"/>
        </w:rPr>
        <w:t>。</w:t>
      </w:r>
    </w:p>
    <w:p w14:paraId="3A1F6C7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关于发包人提供的上述文件的使用限制的要求：</w:t>
      </w:r>
      <w:r>
        <w:rPr>
          <w:rFonts w:hint="eastAsia" w:ascii="宋体" w:hAnsi="宋体" w:eastAsia="宋体" w:cs="宋体"/>
          <w:bCs/>
          <w:color w:val="auto"/>
          <w:sz w:val="21"/>
          <w:szCs w:val="21"/>
          <w:highlight w:val="none"/>
          <w:u w:val="single"/>
        </w:rPr>
        <w:t>由发包人和监理人提供的图纸和其他文件未经发包人许可，承包人不得用于或转给第三方，为此承包人自愿按国家有关法律法规和政策及本合同约定履行保密义务，如果对公开有关信息的必要性产生争执，则以发包人的决定为准</w:t>
      </w:r>
      <w:r>
        <w:rPr>
          <w:rFonts w:hint="eastAsia" w:ascii="宋体" w:hAnsi="宋体" w:eastAsia="宋体" w:cs="宋体"/>
          <w:color w:val="auto"/>
          <w:sz w:val="21"/>
          <w:szCs w:val="21"/>
          <w:highlight w:val="none"/>
          <w:u w:val="single"/>
        </w:rPr>
        <w:t>。</w:t>
      </w:r>
    </w:p>
    <w:p w14:paraId="5A7F19C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关于承包人为实施工程所编制文件的著作权的归属：</w:t>
      </w:r>
      <w:r>
        <w:rPr>
          <w:rFonts w:hint="eastAsia" w:ascii="宋体" w:hAnsi="宋体" w:eastAsia="宋体" w:cs="宋体"/>
          <w:bCs/>
          <w:color w:val="auto"/>
          <w:sz w:val="21"/>
          <w:szCs w:val="21"/>
          <w:highlight w:val="none"/>
          <w:u w:val="single"/>
        </w:rPr>
        <w:t>归承包人所有</w:t>
      </w:r>
      <w:r>
        <w:rPr>
          <w:rFonts w:hint="eastAsia" w:ascii="宋体" w:hAnsi="宋体" w:eastAsia="宋体" w:cs="宋体"/>
          <w:color w:val="auto"/>
          <w:sz w:val="21"/>
          <w:szCs w:val="21"/>
          <w:highlight w:val="none"/>
          <w:u w:val="single"/>
        </w:rPr>
        <w:t>。</w:t>
      </w:r>
    </w:p>
    <w:p w14:paraId="2413125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关于承包人提供的上述文件的使用限制的要求：</w:t>
      </w:r>
      <w:r>
        <w:rPr>
          <w:rFonts w:hint="eastAsia" w:ascii="宋体" w:hAnsi="宋体" w:eastAsia="宋体" w:cs="宋体"/>
          <w:bCs/>
          <w:color w:val="auto"/>
          <w:sz w:val="21"/>
          <w:szCs w:val="21"/>
          <w:highlight w:val="none"/>
          <w:u w:val="single"/>
        </w:rPr>
        <w:t>仅限于此工程项目</w:t>
      </w:r>
      <w:r>
        <w:rPr>
          <w:rFonts w:hint="eastAsia" w:ascii="宋体" w:hAnsi="宋体" w:eastAsia="宋体" w:cs="宋体"/>
          <w:color w:val="auto"/>
          <w:sz w:val="21"/>
          <w:szCs w:val="21"/>
          <w:highlight w:val="none"/>
          <w:u w:val="single"/>
        </w:rPr>
        <w:t>。</w:t>
      </w:r>
    </w:p>
    <w:p w14:paraId="72F48C8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1.11.4 承包人在施工过程中所采用的专利、专有技术、技术秘密的使用费的承担方式：</w:t>
      </w:r>
      <w:r>
        <w:rPr>
          <w:rFonts w:hint="eastAsia" w:ascii="宋体" w:hAnsi="宋体" w:eastAsia="宋体" w:cs="宋体"/>
          <w:bCs/>
          <w:color w:val="auto"/>
          <w:sz w:val="21"/>
          <w:szCs w:val="21"/>
          <w:highlight w:val="none"/>
          <w:u w:val="single"/>
        </w:rPr>
        <w:t>执行通用条款</w:t>
      </w:r>
      <w:r>
        <w:rPr>
          <w:rFonts w:hint="eastAsia" w:ascii="宋体" w:hAnsi="宋体" w:eastAsia="宋体" w:cs="宋体"/>
          <w:color w:val="auto"/>
          <w:kern w:val="0"/>
          <w:sz w:val="21"/>
          <w:szCs w:val="21"/>
          <w:highlight w:val="none"/>
          <w:u w:val="single"/>
        </w:rPr>
        <w:t>。</w:t>
      </w:r>
    </w:p>
    <w:p w14:paraId="1F5697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none"/>
        </w:rPr>
        <w:t>1.13 工程量清</w:t>
      </w:r>
      <w:r>
        <w:rPr>
          <w:rFonts w:hint="eastAsia" w:ascii="宋体" w:hAnsi="宋体" w:eastAsia="宋体" w:cs="宋体"/>
          <w:color w:val="auto"/>
          <w:sz w:val="21"/>
          <w:szCs w:val="21"/>
          <w:highlight w:val="none"/>
        </w:rPr>
        <w:t>单错误的修正</w:t>
      </w:r>
    </w:p>
    <w:p w14:paraId="7B9F4FA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出现工程量清单错误时，是否调整合同价格：</w:t>
      </w:r>
      <w:r>
        <w:rPr>
          <w:rFonts w:hint="eastAsia" w:ascii="宋体" w:hAnsi="宋体" w:eastAsia="宋体" w:cs="宋体"/>
          <w:bCs/>
          <w:color w:val="auto"/>
          <w:sz w:val="21"/>
          <w:szCs w:val="21"/>
          <w:highlight w:val="none"/>
          <w:u w:val="single"/>
          <w:lang w:val="en-US" w:eastAsia="zh-CN"/>
        </w:rPr>
        <w:t>否</w:t>
      </w:r>
      <w:r>
        <w:rPr>
          <w:rFonts w:hint="eastAsia" w:ascii="宋体" w:hAnsi="宋体" w:eastAsia="宋体" w:cs="宋体"/>
          <w:color w:val="auto"/>
          <w:kern w:val="0"/>
          <w:sz w:val="21"/>
          <w:szCs w:val="21"/>
          <w:highlight w:val="none"/>
        </w:rPr>
        <w:t>。</w:t>
      </w:r>
    </w:p>
    <w:p w14:paraId="4E50852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允许调整合同价格的工程量偏差范围：</w:t>
      </w:r>
      <w:r>
        <w:rPr>
          <w:rFonts w:hint="eastAsia" w:ascii="宋体" w:hAnsi="宋体" w:eastAsia="宋体" w:cs="宋体"/>
          <w:bCs/>
          <w:color w:val="auto"/>
          <w:sz w:val="21"/>
          <w:szCs w:val="21"/>
          <w:highlight w:val="none"/>
          <w:u w:val="single"/>
        </w:rPr>
        <w:t>/</w:t>
      </w:r>
      <w:r>
        <w:rPr>
          <w:rFonts w:hint="eastAsia" w:ascii="宋体" w:hAnsi="宋体" w:eastAsia="宋体" w:cs="宋体"/>
          <w:color w:val="auto"/>
          <w:kern w:val="0"/>
          <w:sz w:val="21"/>
          <w:szCs w:val="21"/>
          <w:highlight w:val="none"/>
        </w:rPr>
        <w:t>。</w:t>
      </w:r>
    </w:p>
    <w:p w14:paraId="0F9ECA9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79" w:name="_Toc51164671"/>
      <w:bookmarkStart w:id="80" w:name="_Toc15963"/>
      <w:bookmarkStart w:id="81" w:name="_Toc351203634"/>
      <w:r>
        <w:rPr>
          <w:rFonts w:hint="eastAsia" w:ascii="宋体" w:hAnsi="宋体" w:eastAsia="宋体" w:cs="宋体"/>
          <w:b/>
          <w:color w:val="auto"/>
          <w:kern w:val="0"/>
          <w:sz w:val="21"/>
          <w:szCs w:val="21"/>
          <w:highlight w:val="none"/>
          <w:lang w:val="en-US" w:eastAsia="zh-CN" w:bidi="ar-SA"/>
        </w:rPr>
        <w:t>2</w:t>
      </w:r>
      <w:bookmarkStart w:id="82" w:name="_Toc296503157"/>
      <w:bookmarkStart w:id="83" w:name="_Toc292559867"/>
      <w:bookmarkStart w:id="84" w:name="_Toc297048343"/>
      <w:bookmarkStart w:id="85" w:name="_Toc292559362"/>
      <w:bookmarkStart w:id="86" w:name="_Toc297120457"/>
      <w:bookmarkStart w:id="87" w:name="_Toc296346658"/>
      <w:bookmarkStart w:id="88" w:name="_Toc296347156"/>
      <w:bookmarkStart w:id="89" w:name="_Toc296944496"/>
      <w:bookmarkStart w:id="90" w:name="_Toc296891197"/>
      <w:bookmarkStart w:id="91" w:name="_Toc296890985"/>
      <w:r>
        <w:rPr>
          <w:rFonts w:hint="eastAsia" w:ascii="宋体" w:hAnsi="宋体" w:eastAsia="宋体" w:cs="宋体"/>
          <w:b/>
          <w:color w:val="auto"/>
          <w:kern w:val="0"/>
          <w:sz w:val="21"/>
          <w:szCs w:val="21"/>
          <w:highlight w:val="none"/>
          <w:lang w:val="en-US" w:eastAsia="zh-CN" w:bidi="ar-SA"/>
        </w:rPr>
        <w:t>. 发包人</w:t>
      </w:r>
      <w:bookmarkEnd w:id="79"/>
      <w:bookmarkEnd w:id="80"/>
      <w:bookmarkEnd w:id="81"/>
    </w:p>
    <w:bookmarkEnd w:id="82"/>
    <w:bookmarkEnd w:id="83"/>
    <w:bookmarkEnd w:id="84"/>
    <w:bookmarkEnd w:id="85"/>
    <w:bookmarkEnd w:id="86"/>
    <w:bookmarkEnd w:id="87"/>
    <w:bookmarkEnd w:id="88"/>
    <w:bookmarkEnd w:id="89"/>
    <w:bookmarkEnd w:id="90"/>
    <w:bookmarkEnd w:id="91"/>
    <w:p w14:paraId="2716BB4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633BD2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56A94E6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6DA8AD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5F70F0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559AFD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发包人对发包人代表的授权范围如下：</w:t>
      </w:r>
      <w:r>
        <w:rPr>
          <w:rFonts w:hint="eastAsia" w:ascii="宋体" w:hAnsi="宋体" w:eastAsia="宋体" w:cs="宋体"/>
          <w:bCs/>
          <w:color w:val="auto"/>
          <w:sz w:val="21"/>
          <w:szCs w:val="21"/>
          <w:highlight w:val="none"/>
        </w:rPr>
        <w:t>按发包人要求执行</w:t>
      </w:r>
      <w:r>
        <w:rPr>
          <w:rFonts w:hint="eastAsia" w:ascii="宋体" w:hAnsi="宋体" w:eastAsia="宋体" w:cs="宋体"/>
          <w:color w:val="auto"/>
          <w:sz w:val="21"/>
          <w:szCs w:val="21"/>
          <w:highlight w:val="none"/>
        </w:rPr>
        <w:t>。</w:t>
      </w:r>
    </w:p>
    <w:p w14:paraId="4D67BA5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 施工现场、施工条件和基础资料的提供</w:t>
      </w:r>
    </w:p>
    <w:p w14:paraId="775FBFA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2.4.1 提供施工现场</w:t>
      </w:r>
    </w:p>
    <w:p w14:paraId="657D906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关于发包人移交施工现场的期限要求：</w:t>
      </w:r>
      <w:r>
        <w:rPr>
          <w:rFonts w:hint="eastAsia" w:ascii="宋体" w:hAnsi="宋体" w:eastAsia="宋体" w:cs="宋体"/>
          <w:bCs/>
          <w:color w:val="auto"/>
          <w:sz w:val="21"/>
          <w:szCs w:val="21"/>
          <w:highlight w:val="none"/>
          <w:u w:val="single"/>
        </w:rPr>
        <w:t>开工前提供，施工现场具备开工条件</w:t>
      </w:r>
      <w:r>
        <w:rPr>
          <w:rFonts w:hint="eastAsia" w:ascii="宋体" w:hAnsi="宋体" w:eastAsia="宋体" w:cs="宋体"/>
          <w:color w:val="auto"/>
          <w:sz w:val="21"/>
          <w:szCs w:val="21"/>
          <w:highlight w:val="none"/>
        </w:rPr>
        <w:t>。</w:t>
      </w:r>
    </w:p>
    <w:p w14:paraId="342F9F9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 提供施工条件</w:t>
      </w:r>
    </w:p>
    <w:p w14:paraId="78B7F60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关于发包人应负责提供施工所需要的条件，包括：</w:t>
      </w:r>
      <w:r>
        <w:rPr>
          <w:rFonts w:hint="eastAsia" w:ascii="宋体" w:hAnsi="宋体" w:eastAsia="宋体" w:cs="宋体"/>
          <w:bCs/>
          <w:color w:val="auto"/>
          <w:sz w:val="21"/>
          <w:szCs w:val="21"/>
          <w:highlight w:val="none"/>
          <w:u w:val="single"/>
        </w:rPr>
        <w:t>1、若承包人在施工过程中盗用消防水，所产生的相应责任都由承包人承担；</w:t>
      </w:r>
      <w:r>
        <w:rPr>
          <w:rFonts w:hint="eastAsia" w:ascii="宋体" w:hAnsi="宋体" w:eastAsia="宋体" w:cs="宋体"/>
          <w:bCs/>
          <w:color w:val="auto"/>
          <w:sz w:val="21"/>
          <w:szCs w:val="21"/>
          <w:highlight w:val="none"/>
          <w:u w:val="single"/>
          <w:lang w:val="en-US" w:eastAsia="zh-CN"/>
        </w:rPr>
        <w:t>2</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不提供接水、接电接驳点</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3、本工程水、电费用已按市场价包含在合同价中。</w:t>
      </w:r>
    </w:p>
    <w:p w14:paraId="292C771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资金来源证明及支付担保</w:t>
      </w:r>
    </w:p>
    <w:p w14:paraId="2C284C8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发包人提供资金来源证明的期限要求：</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p w14:paraId="36877EE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发包人是否提供支付担保：</w:t>
      </w:r>
      <w:r>
        <w:rPr>
          <w:rFonts w:hint="eastAsia" w:ascii="宋体" w:hAnsi="宋体" w:eastAsia="宋体" w:cs="宋体"/>
          <w:bCs/>
          <w:color w:val="auto"/>
          <w:sz w:val="21"/>
          <w:szCs w:val="21"/>
          <w:highlight w:val="none"/>
          <w:u w:val="single"/>
          <w:lang w:val="en-US" w:eastAsia="zh-CN"/>
        </w:rPr>
        <w:t>否</w:t>
      </w:r>
      <w:r>
        <w:rPr>
          <w:rFonts w:hint="eastAsia" w:ascii="宋体" w:hAnsi="宋体" w:eastAsia="宋体" w:cs="宋体"/>
          <w:color w:val="auto"/>
          <w:sz w:val="21"/>
          <w:szCs w:val="21"/>
          <w:highlight w:val="none"/>
        </w:rPr>
        <w:t>。</w:t>
      </w:r>
    </w:p>
    <w:p w14:paraId="109FD3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发包人提供支付担保的形式：</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0C925FA7">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92" w:name="_Toc51164672"/>
      <w:bookmarkStart w:id="93" w:name="_Toc1553"/>
      <w:bookmarkStart w:id="94" w:name="_Toc351203635"/>
      <w:r>
        <w:rPr>
          <w:rFonts w:hint="eastAsia" w:ascii="宋体" w:hAnsi="宋体" w:eastAsia="宋体" w:cs="宋体"/>
          <w:b/>
          <w:color w:val="auto"/>
          <w:kern w:val="0"/>
          <w:sz w:val="21"/>
          <w:szCs w:val="21"/>
          <w:highlight w:val="none"/>
          <w:lang w:val="en-US" w:eastAsia="zh-CN" w:bidi="ar-SA"/>
        </w:rPr>
        <w:t>3</w:t>
      </w:r>
      <w:bookmarkStart w:id="95" w:name="_Toc297048344"/>
      <w:bookmarkStart w:id="96" w:name="_Toc296347157"/>
      <w:bookmarkStart w:id="97" w:name="_Toc296346659"/>
      <w:bookmarkStart w:id="98" w:name="_Toc292559868"/>
      <w:bookmarkStart w:id="99" w:name="_Toc297120458"/>
      <w:bookmarkStart w:id="100" w:name="_Toc296944497"/>
      <w:bookmarkStart w:id="101" w:name="_Toc292559363"/>
      <w:bookmarkStart w:id="102" w:name="_Toc296503158"/>
      <w:bookmarkStart w:id="103" w:name="_Toc296891198"/>
      <w:bookmarkStart w:id="104" w:name="_Toc296890986"/>
      <w:r>
        <w:rPr>
          <w:rFonts w:hint="eastAsia" w:ascii="宋体" w:hAnsi="宋体" w:eastAsia="宋体" w:cs="宋体"/>
          <w:b/>
          <w:color w:val="auto"/>
          <w:kern w:val="0"/>
          <w:sz w:val="21"/>
          <w:szCs w:val="21"/>
          <w:highlight w:val="none"/>
          <w:lang w:val="en-US" w:eastAsia="zh-CN" w:bidi="ar-SA"/>
        </w:rPr>
        <w:t>. 承包人</w:t>
      </w:r>
      <w:bookmarkEnd w:id="92"/>
      <w:bookmarkEnd w:id="93"/>
      <w:bookmarkEnd w:id="94"/>
    </w:p>
    <w:bookmarkEnd w:id="95"/>
    <w:bookmarkEnd w:id="96"/>
    <w:bookmarkEnd w:id="97"/>
    <w:bookmarkEnd w:id="98"/>
    <w:bookmarkEnd w:id="99"/>
    <w:bookmarkEnd w:id="100"/>
    <w:bookmarkEnd w:id="101"/>
    <w:bookmarkEnd w:id="102"/>
    <w:bookmarkEnd w:id="103"/>
    <w:bookmarkEnd w:id="104"/>
    <w:p w14:paraId="02ACE1B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承包人的一般义务</w:t>
      </w:r>
    </w:p>
    <w:p w14:paraId="0043CDC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承包人提交的竣工资料的内容：</w:t>
      </w:r>
      <w:r>
        <w:rPr>
          <w:rFonts w:hint="eastAsia" w:ascii="宋体" w:hAnsi="宋体" w:eastAsia="宋体" w:cs="宋体"/>
          <w:bCs/>
          <w:color w:val="auto"/>
          <w:sz w:val="21"/>
          <w:szCs w:val="21"/>
          <w:highlight w:val="none"/>
        </w:rPr>
        <w:t>根据发包人要求编制可提供的全部竣工资料和竣工图，在工程质量竣工验收之前经监理及发包人认可后移交给发包人，若承包人未能及时移交，导致工程质量竣工验收延后，由此造成的工期延误或其他一切损失由承包人承担</w:t>
      </w:r>
      <w:r>
        <w:rPr>
          <w:rFonts w:hint="eastAsia" w:ascii="宋体" w:hAnsi="宋体" w:eastAsia="宋体" w:cs="宋体"/>
          <w:color w:val="auto"/>
          <w:sz w:val="21"/>
          <w:szCs w:val="21"/>
          <w:highlight w:val="none"/>
        </w:rPr>
        <w:t>。</w:t>
      </w:r>
    </w:p>
    <w:p w14:paraId="24D2F76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承包人需要提交的竣工资料套数：</w:t>
      </w:r>
      <w:r>
        <w:rPr>
          <w:rFonts w:hint="eastAsia" w:ascii="宋体" w:hAnsi="宋体" w:eastAsia="宋体" w:cs="宋体"/>
          <w:bCs/>
          <w:color w:val="auto"/>
          <w:sz w:val="21"/>
          <w:szCs w:val="21"/>
          <w:highlight w:val="none"/>
          <w:u w:val="single"/>
        </w:rPr>
        <w:t>一式肆份</w:t>
      </w:r>
      <w:r>
        <w:rPr>
          <w:rFonts w:hint="eastAsia" w:ascii="宋体" w:hAnsi="宋体" w:eastAsia="宋体" w:cs="宋体"/>
          <w:color w:val="auto"/>
          <w:sz w:val="21"/>
          <w:szCs w:val="21"/>
          <w:highlight w:val="none"/>
        </w:rPr>
        <w:t>。</w:t>
      </w:r>
    </w:p>
    <w:p w14:paraId="305779B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承包人提交的竣工资料的费用承担：</w:t>
      </w:r>
      <w:r>
        <w:rPr>
          <w:rFonts w:hint="eastAsia" w:ascii="宋体" w:hAnsi="宋体" w:eastAsia="宋体" w:cs="宋体"/>
          <w:bCs/>
          <w:color w:val="auto"/>
          <w:sz w:val="21"/>
          <w:szCs w:val="21"/>
          <w:highlight w:val="none"/>
          <w:u w:val="single"/>
        </w:rPr>
        <w:t>由承包人自行承担</w:t>
      </w:r>
      <w:r>
        <w:rPr>
          <w:rFonts w:hint="eastAsia" w:ascii="宋体" w:hAnsi="宋体" w:eastAsia="宋体" w:cs="宋体"/>
          <w:color w:val="auto"/>
          <w:sz w:val="21"/>
          <w:szCs w:val="21"/>
          <w:highlight w:val="none"/>
        </w:rPr>
        <w:t>。</w:t>
      </w:r>
    </w:p>
    <w:p w14:paraId="5E339A9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承包人提交的竣工资料移交时间：</w:t>
      </w:r>
      <w:r>
        <w:rPr>
          <w:rFonts w:hint="eastAsia" w:ascii="宋体" w:hAnsi="宋体" w:eastAsia="宋体" w:cs="宋体"/>
          <w:bCs/>
          <w:color w:val="auto"/>
          <w:sz w:val="21"/>
          <w:szCs w:val="21"/>
          <w:highlight w:val="none"/>
          <w:u w:val="single"/>
        </w:rPr>
        <w:t>竣工验收合格</w:t>
      </w:r>
      <w:r>
        <w:rPr>
          <w:rFonts w:hint="eastAsia" w:ascii="宋体" w:hAnsi="宋体" w:eastAsia="宋体" w:cs="宋体"/>
          <w:bCs/>
          <w:color w:val="auto"/>
          <w:sz w:val="21"/>
          <w:szCs w:val="21"/>
          <w:highlight w:val="none"/>
          <w:u w:val="single"/>
          <w:lang w:val="en-US" w:eastAsia="zh-CN"/>
        </w:rPr>
        <w:t>前</w:t>
      </w:r>
      <w:r>
        <w:rPr>
          <w:rFonts w:hint="eastAsia" w:ascii="宋体" w:hAnsi="宋体" w:eastAsia="宋体" w:cs="宋体"/>
          <w:color w:val="auto"/>
          <w:sz w:val="21"/>
          <w:szCs w:val="21"/>
          <w:highlight w:val="none"/>
          <w:u w:val="single"/>
        </w:rPr>
        <w:t>。</w:t>
      </w:r>
    </w:p>
    <w:p w14:paraId="024248B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承包人提交的竣工资料形式要求：</w:t>
      </w:r>
      <w:r>
        <w:rPr>
          <w:rFonts w:hint="eastAsia" w:ascii="宋体" w:hAnsi="宋体" w:eastAsia="宋体" w:cs="宋体"/>
          <w:bCs/>
          <w:color w:val="auto"/>
          <w:sz w:val="21"/>
          <w:szCs w:val="21"/>
          <w:highlight w:val="none"/>
          <w:u w:val="single"/>
        </w:rPr>
        <w:t>按相关文件规定</w:t>
      </w:r>
      <w:r>
        <w:rPr>
          <w:rFonts w:hint="eastAsia" w:ascii="宋体" w:hAnsi="宋体" w:eastAsia="宋体" w:cs="宋体"/>
          <w:color w:val="auto"/>
          <w:sz w:val="21"/>
          <w:szCs w:val="21"/>
          <w:highlight w:val="none"/>
          <w:u w:val="single"/>
        </w:rPr>
        <w:t>。</w:t>
      </w:r>
    </w:p>
    <w:p w14:paraId="11287F9D">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承包人应履行的其他义务：</w:t>
      </w:r>
    </w:p>
    <w:p w14:paraId="0DE70050">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、承包人在本合同生效后 7 天向监理、发包人提供施工组织设计和施工总进度计划，监理、发包人在 7 天内予以回复。施工组织设计和施工总进度计划经各方确认后，承包人应于 2 天内向各方提供正式的施工组织设计和施工总进度计划。</w:t>
      </w:r>
    </w:p>
    <w:p w14:paraId="27E3C6F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承包人须负责与当地政府及有关单位联系、安排及协调。根据国家及地方有关规定，由承包人办理有关交通、环卫、环保手续，并承担相关费用，负责协调和处理因施工引起的周边地段民事纠纷，并承担由此发生的费用，包括因承包人责任造成的违约责任和赔偿。</w:t>
      </w:r>
    </w:p>
    <w:p w14:paraId="3B12C66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排污管理：</w:t>
      </w:r>
      <w:r>
        <w:rPr>
          <w:rFonts w:hint="eastAsia" w:ascii="宋体" w:hAnsi="宋体" w:eastAsia="宋体" w:cs="宋体"/>
          <w:bCs/>
          <w:color w:val="auto"/>
          <w:sz w:val="21"/>
          <w:szCs w:val="21"/>
          <w:highlight w:val="none"/>
          <w:u w:val="single"/>
        </w:rPr>
        <w:t>承包人自行办理排污许可证，费用由承包人在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342FEEE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噪声管理：</w:t>
      </w:r>
      <w:r>
        <w:rPr>
          <w:rFonts w:hint="eastAsia" w:ascii="宋体" w:hAnsi="宋体" w:eastAsia="宋体" w:cs="宋体"/>
          <w:bCs/>
          <w:color w:val="auto"/>
          <w:sz w:val="21"/>
          <w:szCs w:val="21"/>
          <w:highlight w:val="none"/>
          <w:u w:val="single"/>
        </w:rPr>
        <w:t>承包人自行办理夜间施工许可证，费用由承包人在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报价中考虑；施工噪声引起的纠纷由承包人自行解决；</w:t>
      </w:r>
    </w:p>
    <w:p w14:paraId="659D460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垃圾管理：</w:t>
      </w:r>
      <w:r>
        <w:rPr>
          <w:rFonts w:hint="eastAsia" w:ascii="宋体" w:hAnsi="宋体" w:eastAsia="宋体" w:cs="宋体"/>
          <w:bCs/>
          <w:color w:val="auto"/>
          <w:sz w:val="21"/>
          <w:szCs w:val="21"/>
          <w:highlight w:val="none"/>
          <w:u w:val="single"/>
        </w:rPr>
        <w:t>承包人自行办理垃圾弃置许可证，费用由承包人在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01EEEF5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公共道路占用（若有）：</w:t>
      </w:r>
      <w:r>
        <w:rPr>
          <w:rFonts w:hint="eastAsia" w:ascii="宋体" w:hAnsi="宋体" w:eastAsia="宋体" w:cs="宋体"/>
          <w:bCs/>
          <w:color w:val="auto"/>
          <w:sz w:val="21"/>
          <w:szCs w:val="21"/>
          <w:highlight w:val="none"/>
          <w:u w:val="single"/>
        </w:rPr>
        <w:t>承包人办理占用手续，费用由承包人在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0D87DA5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三、施工场地清洁卫生的要求：按照省、市文件规定的相关要求执行，施工人员进场必须规范着装（包括安全设备、设施），费用由承包人在</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报价中考虑。禁止在非规定地点大小便、倒垃圾，违者将按发包人施工过程中的相关管理办法或制度承担违约金。</w:t>
      </w:r>
    </w:p>
    <w:p w14:paraId="5CC17B0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高（中）考、节假日、市内有关方面重大活动期间或发包人需要的特别时间段内，可能对施工作出某些限制和配合要求，承包人应予无条件服从，并按照有关要求作出必要的配合，这可能造成承包人损失，但发包人将不承担承包人的任何损失。</w:t>
      </w:r>
    </w:p>
    <w:p w14:paraId="6CFC8F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承包人要加强工程施工车辆的管理，施工车辆不得无故影响道路交通，不得沿途抛洒弃土，保持路面清洁，车辆出入场内场外道路，均应设专人进行路面保洁；渣土车辆在出入市政道路前必须进行冲洗，避免带泥作业和沿路撒泼滴漏等。承包人负责与交警、城管、市政等有关部门联系解决在交通线路上布置限速、禁停等标志、标牌，并根据有关部门要求，安排人员在主要路口疏解汽车、行人交通，其相应手续及费用由承包人承担。</w:t>
      </w:r>
    </w:p>
    <w:p w14:paraId="3F0AF16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六、承包人应与其他专业承包队伍做好协调、配合工作。承包人必须提供施工进度计划表，明确发包人指定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在各区各层各部位的进场施工、供货时间，在经监理、发包人批准后，承包人应严格按照批准的施工进度安排发包人指定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进行施工、供货。由于承包人未能及时提供施工条件或配合发包人指定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进行施工、供货，而造成的工期延误和损失，由承包人承担全部责任。</w:t>
      </w:r>
    </w:p>
    <w:p w14:paraId="7D2CC92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七、现场具备施工条件后，承包人应按要求的进度</w:t>
      </w:r>
      <w:r>
        <w:rPr>
          <w:rFonts w:hint="eastAsia" w:ascii="宋体" w:hAnsi="宋体" w:eastAsia="宋体" w:cs="宋体"/>
          <w:bCs/>
          <w:color w:val="auto"/>
          <w:sz w:val="21"/>
          <w:szCs w:val="21"/>
          <w:highlight w:val="none"/>
          <w:lang w:val="en-US" w:eastAsia="zh-CN"/>
        </w:rPr>
        <w:t>及时组织开工，无故拖延工程开工达30日，发包人有权单方解除合同，承包人承担由此产生的一切损失和相关责任。</w:t>
      </w:r>
    </w:p>
    <w:p w14:paraId="3A5B041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八、承包人应保证发包人支付的工程款专款专用，不得拖欠民工工资及材料、设备等款项；且按照相关规定向有关部门</w:t>
      </w:r>
      <w:r>
        <w:rPr>
          <w:rFonts w:hint="eastAsia" w:ascii="宋体" w:hAnsi="宋体" w:eastAsia="宋体" w:cs="宋体"/>
          <w:bCs/>
          <w:color w:val="auto"/>
          <w:sz w:val="21"/>
          <w:szCs w:val="21"/>
          <w:highlight w:val="none"/>
          <w:lang w:eastAsia="zh-CN"/>
        </w:rPr>
        <w:t>缴纳</w:t>
      </w:r>
      <w:r>
        <w:rPr>
          <w:rFonts w:hint="eastAsia" w:ascii="宋体" w:hAnsi="宋体" w:eastAsia="宋体" w:cs="宋体"/>
          <w:bCs/>
          <w:color w:val="auto"/>
          <w:sz w:val="21"/>
          <w:szCs w:val="21"/>
          <w:highlight w:val="none"/>
        </w:rPr>
        <w:t>民工工资保证金。承包人必须按国家和地方规定，与每一位建筑工人签订用工合同，及时足额发放工人工资及约定支付材料、设备等款项。否则，承包人无条件同意发包人直接用工程款补足工人工资及材料、设备等款项。并且发包人有权单方面终止合同，并追偿工期违约和信誉等损失。</w:t>
      </w:r>
    </w:p>
    <w:p w14:paraId="1C4A84B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九、施工场地周围地下管线和邻近建筑物、构筑物的保护：施工场地周围地下管线和邻近建筑物、构筑物等，承包人不得破坏，否则必须无条件及时修复，并承担由此发生的费用，必须安全文明施工。</w:t>
      </w:r>
    </w:p>
    <w:p w14:paraId="467F92F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十、本合同工程竣工验收之前，承包人须按国家颁发的竣工验收相关规定、技术档案管理条例、有关部门现行要求编制整理竣工资料和竣工图</w:t>
      </w:r>
      <w:r>
        <w:rPr>
          <w:rFonts w:hint="eastAsia" w:ascii="宋体" w:hAnsi="宋体" w:eastAsia="宋体" w:cs="宋体"/>
          <w:bCs/>
          <w:color w:val="auto"/>
          <w:sz w:val="21"/>
          <w:szCs w:val="21"/>
          <w:highlight w:val="none"/>
          <w:lang w:eastAsia="zh-CN"/>
        </w:rPr>
        <w:t>一式四份</w:t>
      </w:r>
      <w:r>
        <w:rPr>
          <w:rFonts w:hint="eastAsia" w:ascii="宋体" w:hAnsi="宋体" w:eastAsia="宋体" w:cs="宋体"/>
          <w:bCs/>
          <w:color w:val="auto"/>
          <w:sz w:val="21"/>
          <w:szCs w:val="21"/>
          <w:highlight w:val="none"/>
        </w:rPr>
        <w:t>及发包人、监理单位需要提供的其他资料，移交给发包人和有关部门。竣工图的整理、装订、移交等费用由承包人承担。</w:t>
      </w:r>
    </w:p>
    <w:p w14:paraId="58D94D0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一、在发包人提供了符合规定的开工手续后，承包人应具备维护施工现场正常施工秩序的能力，防止施工过程中的“扰民”和“民扰”；在工程建设过程中，承包人对外发生的任何纠纷与交涉以及造成的损失，均由承包人自行解决并承担相应费用，发包人不承担任何责任；如需发包人进行协调，则协调发生的费用由承包人承担。因对外纠纷或其他人员阻挠而延误的工期不予顺延。</w:t>
      </w:r>
    </w:p>
    <w:p w14:paraId="0388BAD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十二、承包人不得损坏发包人提供的相关设施，如有损坏需按原价赔偿，并承担由此产生的一切责任。</w:t>
      </w:r>
    </w:p>
    <w:p w14:paraId="75F2190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项目经理</w:t>
      </w:r>
    </w:p>
    <w:p w14:paraId="4EBD8FA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3.2.1 </w:t>
      </w:r>
      <w:r>
        <w:rPr>
          <w:rFonts w:hint="eastAsia" w:ascii="宋体" w:hAnsi="宋体" w:eastAsia="宋体" w:cs="宋体"/>
          <w:color w:val="auto"/>
          <w:sz w:val="21"/>
          <w:szCs w:val="21"/>
          <w:highlight w:val="none"/>
        </w:rPr>
        <w:t>项目经理：</w:t>
      </w:r>
    </w:p>
    <w:p w14:paraId="43B6796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B95F17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建造师执业资格等级：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0BAA439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0306407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安全生产考核合格证书号：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EBB02B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065F2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承包人对项目经理的授权范围如下：</w:t>
      </w:r>
      <w:r>
        <w:rPr>
          <w:rFonts w:hint="eastAsia" w:ascii="宋体" w:hAnsi="宋体" w:eastAsia="宋体" w:cs="宋体"/>
          <w:bCs/>
          <w:color w:val="auto"/>
          <w:sz w:val="21"/>
          <w:szCs w:val="21"/>
          <w:highlight w:val="none"/>
          <w:u w:val="single"/>
        </w:rPr>
        <w:t>代表承包人行使合同约定的权利和义务，履行合同约定的各项职责</w:t>
      </w:r>
      <w:r>
        <w:rPr>
          <w:rFonts w:hint="eastAsia" w:ascii="宋体" w:hAnsi="宋体" w:eastAsia="宋体" w:cs="宋体"/>
          <w:color w:val="auto"/>
          <w:sz w:val="21"/>
          <w:szCs w:val="21"/>
          <w:highlight w:val="none"/>
        </w:rPr>
        <w:t>。</w:t>
      </w:r>
    </w:p>
    <w:p w14:paraId="6094F9B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关于项目经理每月在施工现场的时间要求：</w:t>
      </w:r>
      <w:r>
        <w:rPr>
          <w:rFonts w:hint="eastAsia" w:ascii="宋体" w:hAnsi="宋体" w:eastAsia="宋体" w:cs="宋体"/>
          <w:bCs/>
          <w:color w:val="auto"/>
          <w:sz w:val="21"/>
          <w:szCs w:val="21"/>
          <w:highlight w:val="none"/>
        </w:rPr>
        <w:t>项目经理每周到岗天数不少于5日，每日工作时间不低于6小时，并24小时</w:t>
      </w:r>
      <w:r>
        <w:rPr>
          <w:rFonts w:hint="eastAsia" w:ascii="宋体" w:hAnsi="宋体" w:eastAsia="宋体" w:cs="宋体"/>
          <w:bCs/>
          <w:color w:val="auto"/>
          <w:sz w:val="21"/>
          <w:szCs w:val="21"/>
          <w:highlight w:val="none"/>
          <w:lang w:eastAsia="zh-CN"/>
        </w:rPr>
        <w:t>保持通信畅通</w:t>
      </w:r>
      <w:r>
        <w:rPr>
          <w:rFonts w:hint="eastAsia" w:ascii="宋体" w:hAnsi="宋体" w:eastAsia="宋体" w:cs="宋体"/>
          <w:bCs/>
          <w:color w:val="auto"/>
          <w:sz w:val="21"/>
          <w:szCs w:val="21"/>
          <w:highlight w:val="none"/>
        </w:rPr>
        <w:t>；同时必须按规定参加工程例会及其他会议</w:t>
      </w:r>
      <w:r>
        <w:rPr>
          <w:rFonts w:hint="eastAsia" w:ascii="宋体" w:hAnsi="宋体" w:eastAsia="宋体" w:cs="宋体"/>
          <w:color w:val="auto"/>
          <w:sz w:val="21"/>
          <w:szCs w:val="21"/>
          <w:highlight w:val="none"/>
        </w:rPr>
        <w:t>。</w:t>
      </w:r>
    </w:p>
    <w:p w14:paraId="55AF523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承包人未提交劳动合同，以及没有为项目经理缴纳社会保险证明的违约责任：</w:t>
      </w:r>
      <w:r>
        <w:rPr>
          <w:rFonts w:hint="eastAsia" w:ascii="宋体" w:hAnsi="宋体" w:eastAsia="宋体" w:cs="宋体"/>
          <w:bCs/>
          <w:color w:val="auto"/>
          <w:sz w:val="21"/>
          <w:szCs w:val="21"/>
          <w:highlight w:val="none"/>
        </w:rPr>
        <w:t>由承包人承担</w:t>
      </w:r>
      <w:r>
        <w:rPr>
          <w:rFonts w:hint="eastAsia" w:ascii="宋体" w:hAnsi="宋体" w:eastAsia="宋体" w:cs="宋体"/>
          <w:color w:val="auto"/>
          <w:sz w:val="21"/>
          <w:szCs w:val="21"/>
          <w:highlight w:val="none"/>
        </w:rPr>
        <w:t>。</w:t>
      </w:r>
    </w:p>
    <w:p w14:paraId="08311FC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项目经理未经批准，擅自离开施工现场的违约责任：</w:t>
      </w:r>
      <w:r>
        <w:rPr>
          <w:rFonts w:hint="eastAsia" w:ascii="宋体" w:hAnsi="宋体" w:eastAsia="宋体" w:cs="宋体"/>
          <w:bCs/>
          <w:color w:val="auto"/>
          <w:sz w:val="21"/>
          <w:szCs w:val="21"/>
          <w:highlight w:val="none"/>
        </w:rPr>
        <w:t>由发包人与监理人对项目经理进行考核，如低于上述规定的天数和工作时间，作违约处理，承包人向发包人支付违约金</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000元/天；规定参加工程例会必须准时到场，项目经理不到场支付</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000元/次的违约金，无故迟到</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00元/次，有事必须出具书面请假条报监理人认可；以上情况若连续超过两次，按照上述标准的双倍支付违约金，若出现上述情形累计超过十次的，发包人有权解除合同，将承包人清退出场，同时不免除承包人应当承担的相应违约责任。项目经理确需离开施工现场时，应事先征得监理工程师同意</w:t>
      </w:r>
      <w:r>
        <w:rPr>
          <w:rFonts w:hint="eastAsia" w:ascii="宋体" w:hAnsi="宋体" w:eastAsia="宋体" w:cs="宋体"/>
          <w:color w:val="auto"/>
          <w:sz w:val="21"/>
          <w:szCs w:val="21"/>
          <w:highlight w:val="none"/>
        </w:rPr>
        <w:t>。</w:t>
      </w:r>
    </w:p>
    <w:p w14:paraId="5254839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承包人擅自更换项目经理的违约责任：</w:t>
      </w:r>
      <w:r>
        <w:rPr>
          <w:rFonts w:hint="eastAsia" w:ascii="宋体" w:hAnsi="宋体" w:eastAsia="宋体" w:cs="宋体"/>
          <w:bCs/>
          <w:color w:val="auto"/>
          <w:sz w:val="21"/>
          <w:szCs w:val="21"/>
          <w:highlight w:val="none"/>
        </w:rPr>
        <w:t>本工程中标的项目经理不得更换，如承包人擅自更换，则发包人有权解除合同。如确有特殊原因需更换项目经理，需承担违约金</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万元并经发包人同意(意外事故、突发重病等发包人认可的特殊原因除外)，且更换后的项目经理资历条件不得低于原中标项目经理，且符合原招标公告中的业绩要求</w:t>
      </w:r>
      <w:r>
        <w:rPr>
          <w:rFonts w:hint="eastAsia" w:ascii="宋体" w:hAnsi="宋体" w:eastAsia="宋体" w:cs="宋体"/>
          <w:color w:val="auto"/>
          <w:sz w:val="21"/>
          <w:szCs w:val="21"/>
          <w:highlight w:val="none"/>
        </w:rPr>
        <w:t>。</w:t>
      </w:r>
    </w:p>
    <w:p w14:paraId="62900FB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3.2.4 承包人无正当理由拒绝更换项目经理的违约责任：</w:t>
      </w:r>
      <w:r>
        <w:rPr>
          <w:rFonts w:hint="eastAsia" w:ascii="宋体" w:hAnsi="宋体" w:eastAsia="宋体" w:cs="宋体"/>
          <w:bCs/>
          <w:color w:val="auto"/>
          <w:sz w:val="21"/>
          <w:szCs w:val="21"/>
          <w:highlight w:val="none"/>
        </w:rPr>
        <w:t>发包人有证据确认本工程中标的项目经理无法胜任或者不能积极配合监理人及发包人正常工作的，经发包人提出后，必须在 3日内调离本工程，同时承包人应在 3 日内用发包人批准的项目经理代替上述调离的中标项目经理，否则向发包人支付 1000</w:t>
      </w:r>
      <w:r>
        <w:rPr>
          <w:rFonts w:hint="eastAsia" w:ascii="宋体" w:hAnsi="宋体" w:eastAsia="宋体" w:cs="宋体"/>
          <w:bCs/>
          <w:color w:val="auto"/>
          <w:sz w:val="21"/>
          <w:szCs w:val="21"/>
          <w:highlight w:val="none"/>
          <w:lang w:val="en-US" w:eastAsia="zh-CN"/>
        </w:rPr>
        <w:t>0</w:t>
      </w:r>
      <w:r>
        <w:rPr>
          <w:rFonts w:hint="eastAsia" w:ascii="宋体" w:hAnsi="宋体" w:eastAsia="宋体" w:cs="宋体"/>
          <w:bCs/>
          <w:color w:val="auto"/>
          <w:sz w:val="21"/>
          <w:szCs w:val="21"/>
          <w:highlight w:val="none"/>
        </w:rPr>
        <w:t>元/天违约金；若拒不整改，发包人有权解除合同，将承包人清退出场，解除合同的同时不免除承包人应当承担的上述违约责任</w:t>
      </w:r>
      <w:r>
        <w:rPr>
          <w:rFonts w:hint="eastAsia" w:ascii="宋体" w:hAnsi="宋体" w:eastAsia="宋体" w:cs="宋体"/>
          <w:color w:val="auto"/>
          <w:sz w:val="21"/>
          <w:szCs w:val="21"/>
          <w:highlight w:val="none"/>
        </w:rPr>
        <w:t>。</w:t>
      </w:r>
    </w:p>
    <w:p w14:paraId="0C92D67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 承包人人员</w:t>
      </w:r>
    </w:p>
    <w:p w14:paraId="31243F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3.3.1 承包人提交项目管理机构及施工现场管理人员安排报告的期限：</w:t>
      </w:r>
      <w:r>
        <w:rPr>
          <w:rFonts w:hint="eastAsia" w:ascii="宋体" w:hAnsi="宋体" w:eastAsia="宋体" w:cs="宋体"/>
          <w:bCs/>
          <w:color w:val="auto"/>
          <w:sz w:val="21"/>
          <w:szCs w:val="21"/>
          <w:highlight w:val="none"/>
          <w:u w:val="single"/>
        </w:rPr>
        <w:t>开工前7天</w:t>
      </w:r>
      <w:r>
        <w:rPr>
          <w:rFonts w:hint="eastAsia" w:ascii="宋体" w:hAnsi="宋体" w:eastAsia="宋体" w:cs="宋体"/>
          <w:color w:val="auto"/>
          <w:sz w:val="21"/>
          <w:szCs w:val="21"/>
          <w:highlight w:val="none"/>
          <w:u w:val="single"/>
        </w:rPr>
        <w:t>。</w:t>
      </w:r>
    </w:p>
    <w:p w14:paraId="2CC93D1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 承包人无正当理由拒绝撤换主要施工管理人员的违约责任：</w:t>
      </w:r>
      <w:r>
        <w:rPr>
          <w:rFonts w:hint="eastAsia" w:ascii="宋体" w:hAnsi="宋体" w:eastAsia="宋体" w:cs="宋体"/>
          <w:bCs/>
          <w:color w:val="auto"/>
          <w:sz w:val="21"/>
          <w:szCs w:val="21"/>
          <w:highlight w:val="none"/>
          <w:u w:val="single"/>
        </w:rPr>
        <w:t>（1）技术负责人、施工员、安全员和材料员每周到岗天数不少于 5 日，每日工作时间不低于 6 小时，并 24 小时</w:t>
      </w:r>
      <w:r>
        <w:rPr>
          <w:rFonts w:hint="eastAsia" w:ascii="宋体" w:hAnsi="宋体" w:eastAsia="宋体" w:cs="宋体"/>
          <w:bCs/>
          <w:color w:val="auto"/>
          <w:sz w:val="21"/>
          <w:szCs w:val="21"/>
          <w:highlight w:val="none"/>
          <w:u w:val="single"/>
          <w:lang w:eastAsia="zh-CN"/>
        </w:rPr>
        <w:t>保持通信畅通</w:t>
      </w:r>
      <w:r>
        <w:rPr>
          <w:rFonts w:hint="eastAsia" w:ascii="宋体" w:hAnsi="宋体" w:eastAsia="宋体" w:cs="宋体"/>
          <w:bCs/>
          <w:color w:val="auto"/>
          <w:sz w:val="21"/>
          <w:szCs w:val="21"/>
          <w:highlight w:val="none"/>
          <w:u w:val="single"/>
        </w:rPr>
        <w:t>；同时必须按规定参加工程例会及其他会议；（2）发包人有证据确认本工程</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书中的各主要施工管理人员（技术负责人、施工员、安全员、质量员和材料员）无法胜任或者不能积极配合监理人及发包人正常工作的， 经发包人提出后， 必须在3日内调离本工程， 同时承包人应在 3 日内用发包人批准的上述各主要施工管理人员代替上述调离的主要施工管理人员，否则向发包人支付500元/人天违约金</w:t>
      </w:r>
      <w:r>
        <w:rPr>
          <w:rFonts w:hint="eastAsia" w:ascii="宋体" w:hAnsi="宋体" w:eastAsia="宋体" w:cs="宋体"/>
          <w:color w:val="auto"/>
          <w:sz w:val="21"/>
          <w:szCs w:val="21"/>
          <w:highlight w:val="none"/>
          <w:u w:val="single"/>
        </w:rPr>
        <w:t>。</w:t>
      </w:r>
    </w:p>
    <w:p w14:paraId="5AC41F8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3.3.4 承包人主要施工管理人员离开施工现场的批准要求</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主要施工管理人员确需离开施工现场时，应事先通知监理人。</w:t>
      </w:r>
    </w:p>
    <w:p w14:paraId="6DAF662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3.3.5 承包人擅自更换主要施工管理人员的违约责任：</w:t>
      </w:r>
      <w:r>
        <w:rPr>
          <w:rFonts w:hint="eastAsia" w:ascii="宋体" w:hAnsi="宋体" w:eastAsia="宋体" w:cs="宋体"/>
          <w:bCs/>
          <w:color w:val="auto"/>
          <w:sz w:val="21"/>
          <w:szCs w:val="21"/>
          <w:highlight w:val="none"/>
        </w:rPr>
        <w:t>发包人要求</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书中的技术负责人、施工员、安全员、质量员和材料员到位，中途若更换，须经发包人同意(意外事故、突发重病等发包人认可的特殊原因除外)并承担违约金：</w:t>
      </w:r>
      <w:r>
        <w:rPr>
          <w:rFonts w:hint="eastAsia" w:ascii="宋体" w:hAnsi="宋体" w:eastAsia="宋体" w:cs="宋体"/>
          <w:bCs/>
          <w:color w:val="auto"/>
          <w:sz w:val="21"/>
          <w:szCs w:val="21"/>
          <w:highlight w:val="none"/>
          <w:u w:val="single"/>
        </w:rPr>
        <w:t>技术负责人</w:t>
      </w:r>
      <w:r>
        <w:rPr>
          <w:rFonts w:hint="eastAsia" w:ascii="宋体" w:hAnsi="宋体" w:eastAsia="宋体" w:cs="宋体"/>
          <w:bCs/>
          <w:color w:val="auto"/>
          <w:sz w:val="21"/>
          <w:szCs w:val="21"/>
          <w:highlight w:val="none"/>
          <w:u w:val="single"/>
          <w:lang w:val="en-US" w:eastAsia="zh-CN"/>
        </w:rPr>
        <w:t>2</w:t>
      </w:r>
      <w:r>
        <w:rPr>
          <w:rFonts w:hint="eastAsia" w:ascii="宋体" w:hAnsi="宋体" w:eastAsia="宋体" w:cs="宋体"/>
          <w:bCs/>
          <w:color w:val="auto"/>
          <w:sz w:val="21"/>
          <w:szCs w:val="21"/>
          <w:highlight w:val="none"/>
          <w:u w:val="single"/>
        </w:rPr>
        <w:t>万元、其余人员</w:t>
      </w:r>
      <w:r>
        <w:rPr>
          <w:rFonts w:hint="eastAsia" w:ascii="宋体" w:hAnsi="宋体" w:eastAsia="宋体" w:cs="宋体"/>
          <w:bCs/>
          <w:color w:val="auto"/>
          <w:sz w:val="21"/>
          <w:szCs w:val="21"/>
          <w:highlight w:val="none"/>
          <w:u w:val="single"/>
          <w:lang w:val="en-US" w:eastAsia="zh-CN"/>
        </w:rPr>
        <w:t>1</w:t>
      </w:r>
      <w:r>
        <w:rPr>
          <w:rFonts w:hint="eastAsia" w:ascii="宋体" w:hAnsi="宋体" w:eastAsia="宋体" w:cs="宋体"/>
          <w:bCs/>
          <w:color w:val="auto"/>
          <w:sz w:val="21"/>
          <w:szCs w:val="21"/>
          <w:highlight w:val="none"/>
          <w:u w:val="single"/>
        </w:rPr>
        <w:t>万元/人；若擅自更换，发包人有权单方解除合同</w:t>
      </w:r>
      <w:r>
        <w:rPr>
          <w:rFonts w:hint="eastAsia" w:ascii="宋体" w:hAnsi="宋体" w:eastAsia="宋体" w:cs="宋体"/>
          <w:color w:val="auto"/>
          <w:sz w:val="21"/>
          <w:szCs w:val="21"/>
          <w:highlight w:val="none"/>
          <w:u w:val="single"/>
        </w:rPr>
        <w:t>。</w:t>
      </w:r>
    </w:p>
    <w:p w14:paraId="0ADF4F8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承包人主要施工管理人员擅自离开施工现场的违约责任：</w:t>
      </w:r>
      <w:r>
        <w:rPr>
          <w:rFonts w:hint="eastAsia" w:ascii="宋体" w:hAnsi="宋体" w:eastAsia="宋体" w:cs="宋体"/>
          <w:bCs/>
          <w:color w:val="auto"/>
          <w:sz w:val="21"/>
          <w:szCs w:val="21"/>
          <w:highlight w:val="none"/>
          <w:u w:val="single"/>
        </w:rPr>
        <w:t>由发包人与监理人对本工程</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的技术负责人、施工员、安全员、质量员和材料员进行考核，如低于上述规定的天数和工作时间，作违约处理，承包人向发包人支付违约金1000元/天；规定参加工程例会必须准时到场，技术负责人、施工员、安全员、质量员和材料员无故不到场支付1000元/次的违约金，无故迟到200元/次，有事必须出具书面请假条报监理人认可；以上情况若连续超过两次，按照上述标准的双倍支付违约金</w:t>
      </w:r>
      <w:r>
        <w:rPr>
          <w:rFonts w:hint="eastAsia" w:ascii="宋体" w:hAnsi="宋体" w:eastAsia="宋体" w:cs="宋体"/>
          <w:color w:val="auto"/>
          <w:sz w:val="21"/>
          <w:szCs w:val="21"/>
          <w:highlight w:val="none"/>
          <w:u w:val="single"/>
        </w:rPr>
        <w:t>。</w:t>
      </w:r>
    </w:p>
    <w:p w14:paraId="4886660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05" w:name="_Toc312677988"/>
      <w:bookmarkStart w:id="106" w:name="_Toc303539102"/>
      <w:bookmarkStart w:id="107" w:name="_Toc297048345"/>
      <w:bookmarkStart w:id="108" w:name="_Toc292559869"/>
      <w:bookmarkStart w:id="109" w:name="_Toc292559364"/>
      <w:bookmarkStart w:id="110" w:name="_Toc296891199"/>
      <w:bookmarkStart w:id="111" w:name="_Toc296346660"/>
      <w:bookmarkStart w:id="112" w:name="_Toc296890987"/>
      <w:bookmarkStart w:id="113" w:name="_Toc296503159"/>
      <w:bookmarkStart w:id="114" w:name="_Toc300934945"/>
      <w:bookmarkStart w:id="115" w:name="_Toc296944498"/>
      <w:bookmarkStart w:id="116" w:name="_Toc296347158"/>
      <w:bookmarkStart w:id="117" w:name="_Toc297123492"/>
      <w:bookmarkStart w:id="118" w:name="_Toc297120459"/>
      <w:bookmarkStart w:id="119" w:name="_Toc304295523"/>
      <w:bookmarkStart w:id="120" w:name="_Toc297216151"/>
      <w:r>
        <w:rPr>
          <w:rFonts w:hint="eastAsia" w:ascii="宋体" w:hAnsi="宋体" w:eastAsia="宋体" w:cs="宋体"/>
          <w:color w:val="auto"/>
          <w:sz w:val="21"/>
          <w:szCs w:val="21"/>
          <w:highlight w:val="none"/>
        </w:rPr>
        <w:t>.5 分包</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10F97A0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21" w:name="_Toc296503160"/>
      <w:bookmarkStart w:id="122" w:name="_Toc318581158"/>
      <w:bookmarkStart w:id="123" w:name="_Toc296346661"/>
      <w:bookmarkStart w:id="124" w:name="_Toc297048346"/>
      <w:bookmarkStart w:id="125" w:name="_Toc296347159"/>
      <w:bookmarkStart w:id="126" w:name="_Toc297216152"/>
      <w:bookmarkStart w:id="127" w:name="_Toc297120460"/>
      <w:bookmarkStart w:id="128" w:name="_Toc296891200"/>
      <w:bookmarkStart w:id="129" w:name="_Toc292559870"/>
      <w:bookmarkStart w:id="130" w:name="_Toc297123493"/>
      <w:bookmarkStart w:id="131" w:name="_Toc303539103"/>
      <w:bookmarkStart w:id="132" w:name="_Toc292559365"/>
      <w:bookmarkStart w:id="133" w:name="_Toc300934946"/>
      <w:bookmarkStart w:id="134" w:name="_Toc296944499"/>
      <w:bookmarkStart w:id="135" w:name="_Toc312677989"/>
      <w:bookmarkStart w:id="136" w:name="_Toc296890988"/>
      <w:bookmarkStart w:id="137" w:name="_Toc304295524"/>
      <w:r>
        <w:rPr>
          <w:rFonts w:hint="eastAsia" w:ascii="宋体" w:hAnsi="宋体" w:eastAsia="宋体" w:cs="宋体"/>
          <w:color w:val="auto"/>
          <w:sz w:val="21"/>
          <w:szCs w:val="21"/>
          <w:highlight w:val="none"/>
        </w:rPr>
        <w:t>.5.1 分包的一般约定</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hint="eastAsia" w:ascii="宋体" w:hAnsi="宋体" w:eastAsia="宋体" w:cs="宋体"/>
          <w:color w:val="auto"/>
          <w:sz w:val="21"/>
          <w:szCs w:val="21"/>
          <w:highlight w:val="none"/>
        </w:rPr>
        <w:t>：</w:t>
      </w:r>
      <w:r>
        <w:rPr>
          <w:rFonts w:hint="eastAsia" w:ascii="宋体" w:hAnsi="宋体" w:eastAsia="宋体" w:cs="宋体"/>
          <w:bCs/>
          <w:color w:val="auto"/>
          <w:sz w:val="21"/>
          <w:szCs w:val="21"/>
          <w:highlight w:val="none"/>
          <w:u w:val="single"/>
        </w:rPr>
        <w:t>本工程严禁分包、转包</w:t>
      </w:r>
      <w:r>
        <w:rPr>
          <w:rFonts w:hint="eastAsia" w:ascii="宋体" w:hAnsi="宋体" w:eastAsia="宋体" w:cs="宋体"/>
          <w:color w:val="auto"/>
          <w:sz w:val="21"/>
          <w:szCs w:val="21"/>
          <w:highlight w:val="none"/>
          <w:u w:val="single"/>
        </w:rPr>
        <w:t>。</w:t>
      </w:r>
    </w:p>
    <w:p w14:paraId="028C01F9">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 工程照管与成品、半成品保护</w:t>
      </w:r>
    </w:p>
    <w:p w14:paraId="72E3EAC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kern w:val="0"/>
          <w:sz w:val="21"/>
          <w:szCs w:val="21"/>
          <w:highlight w:val="none"/>
          <w:u w:val="single"/>
        </w:rPr>
      </w:pPr>
      <w:r>
        <w:rPr>
          <w:rFonts w:hint="eastAsia" w:ascii="宋体" w:hAnsi="宋体" w:eastAsia="宋体" w:cs="宋体"/>
          <w:color w:val="auto"/>
          <w:kern w:val="0"/>
          <w:sz w:val="21"/>
          <w:szCs w:val="21"/>
          <w:highlight w:val="none"/>
        </w:rPr>
        <w:t>承包人负责照管工程及工程相关的材料、工程设备的起始时间：</w:t>
      </w:r>
      <w:r>
        <w:rPr>
          <w:rFonts w:hint="eastAsia" w:ascii="宋体" w:hAnsi="宋体" w:eastAsia="宋体" w:cs="宋体"/>
          <w:bCs/>
          <w:color w:val="auto"/>
          <w:kern w:val="0"/>
          <w:sz w:val="21"/>
          <w:szCs w:val="21"/>
          <w:highlight w:val="none"/>
          <w:u w:val="single"/>
        </w:rPr>
        <w:t>1、承包人在工程竣工移交前，应做好移交前的成品保护，期间任何成品的破坏，均由承包人无偿修复，并由此承担工期延误和相关责任。</w:t>
      </w:r>
    </w:p>
    <w:p w14:paraId="5801637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bCs/>
          <w:color w:val="auto"/>
          <w:kern w:val="0"/>
          <w:sz w:val="21"/>
          <w:szCs w:val="21"/>
          <w:highlight w:val="none"/>
        </w:rPr>
        <w:t>2、施工过程中须考虑成品保护措施费用以及材料运输过程中防尘、密闭运输、安全等措施费用、路面清洁、洒水等相关费用及与建设、城管等部门之间的矛盾协调、处罚及应上缴的相关规费等费用，承包人须自行考虑，与发包人无关</w:t>
      </w:r>
      <w:r>
        <w:rPr>
          <w:rFonts w:hint="eastAsia" w:ascii="宋体" w:hAnsi="宋体" w:eastAsia="宋体" w:cs="宋体"/>
          <w:color w:val="auto"/>
          <w:kern w:val="0"/>
          <w:sz w:val="21"/>
          <w:szCs w:val="21"/>
          <w:highlight w:val="none"/>
        </w:rPr>
        <w:t>。</w:t>
      </w:r>
    </w:p>
    <w:p w14:paraId="741A167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0000FF"/>
          <w:sz w:val="21"/>
          <w:szCs w:val="21"/>
          <w:highlight w:val="yellow"/>
        </w:rPr>
      </w:pPr>
      <w:r>
        <w:rPr>
          <w:rFonts w:hint="eastAsia" w:ascii="宋体" w:hAnsi="宋体" w:eastAsia="宋体" w:cs="宋体"/>
          <w:color w:val="0000FF"/>
          <w:sz w:val="21"/>
          <w:szCs w:val="21"/>
          <w:highlight w:val="yellow"/>
        </w:rPr>
        <w:t>3.7 履约担保</w:t>
      </w:r>
    </w:p>
    <w:p w14:paraId="0198B90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承包人是否提供履约担保：</w:t>
      </w:r>
      <w:r>
        <w:rPr>
          <w:rFonts w:hint="eastAsia" w:ascii="宋体" w:hAnsi="宋体" w:eastAsia="宋体" w:cs="宋体"/>
          <w:bCs/>
          <w:color w:val="auto"/>
          <w:sz w:val="21"/>
          <w:szCs w:val="21"/>
          <w:highlight w:val="none"/>
          <w:u w:val="single"/>
        </w:rPr>
        <w:t>提供</w:t>
      </w:r>
      <w:r>
        <w:rPr>
          <w:rFonts w:hint="eastAsia" w:ascii="宋体" w:hAnsi="宋体" w:eastAsia="宋体" w:cs="宋体"/>
          <w:color w:val="auto"/>
          <w:sz w:val="21"/>
          <w:szCs w:val="21"/>
          <w:highlight w:val="none"/>
        </w:rPr>
        <w:t>。</w:t>
      </w:r>
    </w:p>
    <w:p w14:paraId="6AA7D2CF">
      <w:pPr>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承包人提供履约担保的形式、金额及期限的：</w:t>
      </w:r>
      <w:r>
        <w:rPr>
          <w:rFonts w:hint="eastAsia" w:ascii="宋体" w:hAnsi="宋体" w:eastAsia="宋体" w:cs="宋体"/>
          <w:color w:val="0000FF"/>
          <w:szCs w:val="21"/>
          <w:u w:val="single"/>
        </w:rPr>
        <w:t>合同价款的10%（现金），合同签订前交至甲方指定账户，工程竣工验收合格后一次性退还（不计息）。</w:t>
      </w:r>
    </w:p>
    <w:p w14:paraId="5DD38864">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38" w:name="_Toc51164673"/>
      <w:bookmarkStart w:id="139" w:name="_Toc351203636"/>
      <w:bookmarkStart w:id="140" w:name="_Toc4675"/>
      <w:r>
        <w:rPr>
          <w:rFonts w:hint="eastAsia" w:ascii="宋体" w:hAnsi="宋体" w:eastAsia="宋体" w:cs="宋体"/>
          <w:b/>
          <w:color w:val="auto"/>
          <w:kern w:val="0"/>
          <w:sz w:val="21"/>
          <w:szCs w:val="21"/>
          <w:highlight w:val="none"/>
          <w:lang w:val="en-US" w:eastAsia="zh-CN" w:bidi="ar-SA"/>
        </w:rPr>
        <w:t>4</w:t>
      </w:r>
      <w:bookmarkStart w:id="141" w:name="_Toc292559366"/>
      <w:bookmarkStart w:id="142" w:name="_Toc267251413"/>
      <w:bookmarkStart w:id="143" w:name="_Toc292559871"/>
      <w:bookmarkStart w:id="144" w:name="_Toc296890990"/>
      <w:bookmarkStart w:id="145" w:name="_Toc296347161"/>
      <w:bookmarkStart w:id="146" w:name="_Toc296346663"/>
      <w:bookmarkStart w:id="147" w:name="_Toc296891202"/>
      <w:bookmarkStart w:id="148" w:name="_Toc296503162"/>
      <w:bookmarkStart w:id="149" w:name="_Toc296944501"/>
      <w:bookmarkStart w:id="150" w:name="_Toc297048348"/>
      <w:bookmarkStart w:id="151" w:name="_Toc297120462"/>
      <w:r>
        <w:rPr>
          <w:rFonts w:hint="eastAsia" w:ascii="宋体" w:hAnsi="宋体" w:eastAsia="宋体" w:cs="宋体"/>
          <w:b/>
          <w:color w:val="auto"/>
          <w:kern w:val="0"/>
          <w:sz w:val="21"/>
          <w:szCs w:val="21"/>
          <w:highlight w:val="none"/>
          <w:lang w:val="en-US" w:eastAsia="zh-CN" w:bidi="ar-SA"/>
        </w:rPr>
        <w:t>. 监</w:t>
      </w:r>
      <w:bookmarkEnd w:id="141"/>
      <w:bookmarkEnd w:id="142"/>
      <w:bookmarkEnd w:id="143"/>
      <w:bookmarkEnd w:id="144"/>
      <w:bookmarkEnd w:id="145"/>
      <w:bookmarkEnd w:id="146"/>
      <w:bookmarkEnd w:id="147"/>
      <w:bookmarkEnd w:id="148"/>
      <w:bookmarkEnd w:id="149"/>
      <w:bookmarkEnd w:id="150"/>
      <w:bookmarkEnd w:id="151"/>
      <w:r>
        <w:rPr>
          <w:rFonts w:hint="eastAsia" w:ascii="宋体" w:hAnsi="宋体" w:eastAsia="宋体" w:cs="宋体"/>
          <w:b/>
          <w:color w:val="auto"/>
          <w:kern w:val="0"/>
          <w:sz w:val="21"/>
          <w:szCs w:val="21"/>
          <w:highlight w:val="none"/>
          <w:lang w:val="en-US" w:eastAsia="zh-CN" w:bidi="ar-SA"/>
        </w:rPr>
        <w:t>理人</w:t>
      </w:r>
      <w:bookmarkEnd w:id="138"/>
      <w:bookmarkEnd w:id="139"/>
      <w:bookmarkEnd w:id="140"/>
    </w:p>
    <w:p w14:paraId="6EB128B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监理人的一般规定</w:t>
      </w:r>
    </w:p>
    <w:p w14:paraId="0209B41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关于监理人的监理内容：</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78B3170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关于监理人的监理权限：</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28C29DC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关于监理人在施工现场的办公场所、生活场所的提供和费用承担的约定：</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601A1533">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监理人员</w:t>
      </w:r>
    </w:p>
    <w:p w14:paraId="54BB0C6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w:t>
      </w:r>
    </w:p>
    <w:p w14:paraId="434E232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监理单位：</w:t>
      </w:r>
      <w:r>
        <w:rPr>
          <w:rFonts w:hint="eastAsia" w:ascii="宋体" w:hAnsi="宋体" w:eastAsia="宋体" w:cs="宋体"/>
          <w:color w:val="auto"/>
          <w:sz w:val="21"/>
          <w:szCs w:val="21"/>
          <w:highlight w:val="none"/>
          <w:u w:val="single"/>
          <w:lang w:val="en-US" w:eastAsia="zh-CN"/>
        </w:rPr>
        <w:t xml:space="preserve">       </w:t>
      </w:r>
      <w:r>
        <w:rPr>
          <w:rFonts w:ascii="宋体" w:hAnsi="宋体" w:eastAsia="宋体" w:cs="宋体"/>
          <w:b w:val="0"/>
          <w:bCs w:val="0"/>
          <w:color w:val="000000"/>
          <w:sz w:val="20"/>
          <w:szCs w:val="20"/>
        </w:rPr>
        <w:t xml:space="preserve"> ；</w:t>
      </w:r>
    </w:p>
    <w:p w14:paraId="2E24362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CF6A82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职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61E99A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监理工程师执业资格证书号：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4C3C66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F4B42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关于监理人的其他约定：</w:t>
      </w:r>
      <w:r>
        <w:rPr>
          <w:rFonts w:hint="eastAsia" w:ascii="宋体" w:hAnsi="宋体" w:eastAsia="宋体" w:cs="宋体"/>
          <w:bCs/>
          <w:color w:val="auto"/>
          <w:sz w:val="21"/>
          <w:szCs w:val="21"/>
          <w:highlight w:val="none"/>
        </w:rPr>
        <w:t>按监理合同执行</w:t>
      </w:r>
      <w:r>
        <w:rPr>
          <w:rFonts w:hint="eastAsia" w:ascii="宋体" w:hAnsi="宋体" w:eastAsia="宋体" w:cs="宋体"/>
          <w:color w:val="auto"/>
          <w:sz w:val="21"/>
          <w:szCs w:val="21"/>
          <w:highlight w:val="none"/>
        </w:rPr>
        <w:t>。</w:t>
      </w:r>
    </w:p>
    <w:p w14:paraId="0C0BAD6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 商定或确定</w:t>
      </w:r>
    </w:p>
    <w:p w14:paraId="289C69EA">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bookmarkStart w:id="152" w:name="_Toc267251418"/>
      <w:r>
        <w:rPr>
          <w:rFonts w:hint="eastAsia" w:ascii="宋体" w:hAnsi="宋体" w:eastAsia="宋体" w:cs="宋体"/>
          <w:color w:val="auto"/>
          <w:sz w:val="21"/>
          <w:szCs w:val="21"/>
          <w:highlight w:val="none"/>
        </w:rPr>
        <w:t>在发包人和承包人不能通过协商达成一致意见时，发包人授权监理人对以下事项进行确定：</w:t>
      </w:r>
      <w:r>
        <w:rPr>
          <w:rFonts w:hint="eastAsia" w:ascii="宋体" w:hAnsi="宋体" w:eastAsia="宋体" w:cs="宋体"/>
          <w:bCs/>
          <w:color w:val="auto"/>
          <w:sz w:val="21"/>
          <w:szCs w:val="21"/>
          <w:highlight w:val="none"/>
          <w:u w:val="single"/>
        </w:rPr>
        <w:t>另行协商</w:t>
      </w:r>
      <w:r>
        <w:rPr>
          <w:rFonts w:hint="eastAsia" w:ascii="宋体" w:hAnsi="宋体" w:eastAsia="宋体" w:cs="宋体"/>
          <w:color w:val="auto"/>
          <w:sz w:val="21"/>
          <w:szCs w:val="21"/>
          <w:highlight w:val="none"/>
          <w:u w:val="single"/>
        </w:rPr>
        <w:t>；</w:t>
      </w:r>
    </w:p>
    <w:p w14:paraId="788E3BC1">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53" w:name="_Toc351203637"/>
      <w:bookmarkStart w:id="154" w:name="_Toc19103"/>
      <w:bookmarkStart w:id="155" w:name="_Toc51164674"/>
      <w:r>
        <w:rPr>
          <w:rFonts w:hint="eastAsia" w:ascii="宋体" w:hAnsi="宋体" w:eastAsia="宋体" w:cs="宋体"/>
          <w:b/>
          <w:color w:val="auto"/>
          <w:kern w:val="0"/>
          <w:sz w:val="21"/>
          <w:szCs w:val="21"/>
          <w:highlight w:val="none"/>
          <w:lang w:val="en-US" w:eastAsia="zh-CN" w:bidi="ar-SA"/>
        </w:rPr>
        <w:t>5</w:t>
      </w:r>
      <w:bookmarkEnd w:id="152"/>
      <w:bookmarkStart w:id="156" w:name="_Toc296890991"/>
      <w:bookmarkStart w:id="157" w:name="_Toc297120463"/>
      <w:bookmarkStart w:id="158" w:name="_Toc296503163"/>
      <w:bookmarkStart w:id="159" w:name="_Toc296891203"/>
      <w:bookmarkStart w:id="160" w:name="_Toc292559872"/>
      <w:bookmarkStart w:id="161" w:name="_Toc292559367"/>
      <w:bookmarkStart w:id="162" w:name="_Toc296346664"/>
      <w:bookmarkStart w:id="163" w:name="_Toc297048349"/>
      <w:bookmarkStart w:id="164" w:name="_Toc296347162"/>
      <w:bookmarkStart w:id="165" w:name="_Toc296944502"/>
      <w:r>
        <w:rPr>
          <w:rFonts w:hint="eastAsia" w:ascii="宋体" w:hAnsi="宋体" w:eastAsia="宋体" w:cs="宋体"/>
          <w:b/>
          <w:color w:val="auto"/>
          <w:kern w:val="0"/>
          <w:sz w:val="21"/>
          <w:szCs w:val="21"/>
          <w:highlight w:val="none"/>
          <w:lang w:val="en-US" w:eastAsia="zh-CN" w:bidi="ar-SA"/>
        </w:rPr>
        <w:t>. 工程质量</w:t>
      </w:r>
      <w:bookmarkEnd w:id="153"/>
      <w:bookmarkEnd w:id="154"/>
      <w:bookmarkEnd w:id="155"/>
    </w:p>
    <w:p w14:paraId="370A587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质量要求</w:t>
      </w:r>
    </w:p>
    <w:p w14:paraId="301B3C7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166" w:name="_Toc297123496"/>
      <w:bookmarkStart w:id="167" w:name="_Toc300934949"/>
      <w:bookmarkStart w:id="168" w:name="_Toc303539106"/>
      <w:bookmarkStart w:id="169" w:name="_Toc297216155"/>
      <w:bookmarkStart w:id="170" w:name="_Toc312677997"/>
      <w:bookmarkStart w:id="171" w:name="_Toc318581164"/>
      <w:bookmarkStart w:id="172" w:name="_Toc304295527"/>
      <w:r>
        <w:rPr>
          <w:rFonts w:hint="eastAsia" w:ascii="宋体" w:hAnsi="宋体" w:eastAsia="宋体" w:cs="宋体"/>
          <w:color w:val="auto"/>
          <w:sz w:val="21"/>
          <w:szCs w:val="21"/>
          <w:highlight w:val="none"/>
        </w:rPr>
        <w:t>5.1.1 特殊质量标准和要求：</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55FB771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关于工程奖项的约定：</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rPr>
        <w:t>。</w:t>
      </w:r>
    </w:p>
    <w:p w14:paraId="6194DD8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隐蔽工程检查</w:t>
      </w:r>
    </w:p>
    <w:p w14:paraId="1881C64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5.3.2 承包人提前通知监理人隐蔽工程检查的期限的约定：</w:t>
      </w:r>
      <w:r>
        <w:rPr>
          <w:rFonts w:hint="eastAsia" w:ascii="宋体" w:hAnsi="宋体" w:eastAsia="宋体" w:cs="宋体"/>
          <w:bCs/>
          <w:color w:val="auto"/>
          <w:sz w:val="21"/>
          <w:szCs w:val="21"/>
          <w:highlight w:val="none"/>
          <w:u w:val="single"/>
        </w:rPr>
        <w:t>书面申报材料后24小时内</w:t>
      </w:r>
      <w:r>
        <w:rPr>
          <w:rFonts w:hint="eastAsia" w:ascii="宋体" w:hAnsi="宋体" w:eastAsia="宋体" w:cs="宋体"/>
          <w:color w:val="auto"/>
          <w:sz w:val="21"/>
          <w:szCs w:val="21"/>
          <w:highlight w:val="none"/>
          <w:u w:val="single"/>
        </w:rPr>
        <w:t>。</w:t>
      </w:r>
    </w:p>
    <w:p w14:paraId="1187755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监理人不能按时进行检查时，应提前</w:t>
      </w:r>
      <w:r>
        <w:rPr>
          <w:rFonts w:hint="eastAsia" w:ascii="宋体" w:hAnsi="宋体" w:eastAsia="宋体" w:cs="宋体"/>
          <w:bCs/>
          <w:color w:val="auto"/>
          <w:sz w:val="21"/>
          <w:szCs w:val="21"/>
          <w:highlight w:val="none"/>
          <w:u w:val="single"/>
        </w:rPr>
        <w:t>24</w:t>
      </w:r>
      <w:r>
        <w:rPr>
          <w:rFonts w:hint="eastAsia" w:ascii="宋体" w:hAnsi="宋体" w:eastAsia="宋体" w:cs="宋体"/>
          <w:color w:val="auto"/>
          <w:sz w:val="21"/>
          <w:szCs w:val="21"/>
          <w:highlight w:val="none"/>
          <w:u w:val="single"/>
        </w:rPr>
        <w:t>小时提交书面延期要求。</w:t>
      </w:r>
    </w:p>
    <w:p w14:paraId="099646C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bCs/>
          <w:color w:val="auto"/>
          <w:sz w:val="21"/>
          <w:szCs w:val="21"/>
          <w:highlight w:val="none"/>
          <w:u w:val="single"/>
        </w:rPr>
        <w:t>48</w:t>
      </w:r>
      <w:r>
        <w:rPr>
          <w:rFonts w:hint="eastAsia" w:ascii="宋体" w:hAnsi="宋体" w:eastAsia="宋体" w:cs="宋体"/>
          <w:color w:val="auto"/>
          <w:sz w:val="21"/>
          <w:szCs w:val="21"/>
          <w:highlight w:val="none"/>
          <w:u w:val="single"/>
        </w:rPr>
        <w:t>小时。</w:t>
      </w:r>
    </w:p>
    <w:p w14:paraId="4D3A03C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73" w:name="_Toc351203638"/>
      <w:bookmarkStart w:id="174" w:name="_Toc13799"/>
      <w:bookmarkStart w:id="175" w:name="_Toc51164675"/>
      <w:r>
        <w:rPr>
          <w:rFonts w:hint="eastAsia" w:ascii="宋体" w:hAnsi="宋体" w:eastAsia="宋体" w:cs="宋体"/>
          <w:b/>
          <w:color w:val="auto"/>
          <w:kern w:val="0"/>
          <w:sz w:val="21"/>
          <w:szCs w:val="21"/>
          <w:highlight w:val="none"/>
          <w:lang w:val="en-US" w:eastAsia="zh-CN" w:bidi="ar-SA"/>
        </w:rPr>
        <w:t>6. 安全文明施工与环境保护</w:t>
      </w:r>
      <w:bookmarkEnd w:id="173"/>
      <w:bookmarkEnd w:id="174"/>
      <w:bookmarkEnd w:id="175"/>
    </w:p>
    <w:p w14:paraId="7BE19BB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安全文明施工</w:t>
      </w:r>
    </w:p>
    <w:p w14:paraId="6AEDC4D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rPr>
        <w:t>6.1.1 项目安全生产的达标目标及相应事项的约定：</w:t>
      </w:r>
      <w:r>
        <w:rPr>
          <w:rFonts w:hint="eastAsia" w:ascii="宋体" w:hAnsi="宋体" w:eastAsia="宋体" w:cs="宋体"/>
          <w:bCs/>
          <w:color w:val="auto"/>
          <w:sz w:val="21"/>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2A20C63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（2）承包人须做好文明施工、安全生产，在施工过程中应完善文明施工措施，在施工过程中造成的安全事故由承包人承担。</w:t>
      </w:r>
    </w:p>
    <w:p w14:paraId="3C45C8F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（3）建筑垃圾处理执行《常州市金坛区建筑垃圾收集运输和处置管理规定》（详见坛政规【2024】3号文）。</w:t>
      </w:r>
    </w:p>
    <w:p w14:paraId="0BFD49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6.1.4 关于治安保卫的特别约定：</w:t>
      </w:r>
      <w:r>
        <w:rPr>
          <w:rFonts w:hint="eastAsia" w:ascii="宋体" w:hAnsi="宋体" w:eastAsia="宋体" w:cs="宋体"/>
          <w:bCs/>
          <w:color w:val="auto"/>
          <w:sz w:val="21"/>
          <w:szCs w:val="21"/>
          <w:highlight w:val="none"/>
          <w:u w:val="single"/>
        </w:rPr>
        <w:t>承包人应采取必要的治安保卫措施，并承担因承包人因该项工作不力（财物材料失窃、工人赌博酗酒、工人打架斗殴等）而造成的相应损失</w:t>
      </w:r>
      <w:r>
        <w:rPr>
          <w:rFonts w:hint="eastAsia" w:ascii="宋体" w:hAnsi="宋体" w:eastAsia="宋体" w:cs="宋体"/>
          <w:color w:val="auto"/>
          <w:sz w:val="21"/>
          <w:szCs w:val="21"/>
          <w:highlight w:val="none"/>
          <w:u w:val="single"/>
        </w:rPr>
        <w:t>。</w:t>
      </w:r>
    </w:p>
    <w:p w14:paraId="73AF46D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关于编制施工场地治安管理计划的约定：</w:t>
      </w:r>
      <w:r>
        <w:rPr>
          <w:rFonts w:hint="eastAsia" w:ascii="宋体" w:hAnsi="宋体" w:eastAsia="宋体" w:cs="宋体"/>
          <w:bCs/>
          <w:color w:val="auto"/>
          <w:sz w:val="21"/>
          <w:szCs w:val="21"/>
          <w:highlight w:val="none"/>
          <w:u w:val="single"/>
        </w:rPr>
        <w:t>承包人应在开工7天内编制施工场地治安管理计划</w:t>
      </w:r>
      <w:r>
        <w:rPr>
          <w:rFonts w:hint="eastAsia" w:ascii="宋体" w:hAnsi="宋体" w:eastAsia="宋体" w:cs="宋体"/>
          <w:color w:val="auto"/>
          <w:sz w:val="21"/>
          <w:szCs w:val="21"/>
          <w:highlight w:val="none"/>
          <w:u w:val="single"/>
        </w:rPr>
        <w:t>。</w:t>
      </w:r>
    </w:p>
    <w:p w14:paraId="36C3E4D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6.1.5 文明施工</w:t>
      </w:r>
    </w:p>
    <w:p w14:paraId="0BCEFAB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bCs/>
          <w:color w:val="auto"/>
          <w:sz w:val="21"/>
          <w:szCs w:val="21"/>
          <w:highlight w:val="none"/>
        </w:rPr>
        <w:t>本工程承包人必须按文明工地标准进行管理，承包人必须服从发包人制定的有关现场安全文明管理规定，并服从发包人、监理的统一管理和协调。承包人应按照发包人、监理要求制定现场安全文明管理制度，并落实各项制度的运行。</w:t>
      </w:r>
    </w:p>
    <w:p w14:paraId="2ABF296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承包人应保证施工现场符合工程当地建设、规划、环保及城管部门文明施工的有关规定，承担因其自身违反有关规定造成的损失和违约责任。</w:t>
      </w:r>
    </w:p>
    <w:p w14:paraId="4A94CB1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施工场地清洁卫生的要求：遵守环境卫生管理的有关规定，承担因自身原因违反有关规定造成的损失和违约责任；临时设施的搭设需经监理人和发包人批准，并按标准化、文明现场的要求设立标语、标牌，保证施工场地清洁卫生和场地硬化、美化，并承担相关费用。</w:t>
      </w:r>
    </w:p>
    <w:p w14:paraId="3BB7EB2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承包人必须严格按照当地建设主管部门的要求，有效控制工程施工扬尘，如发生投诉及主管部门追责，每次由承包人向发包人支付1万元违约金，从承包人工程款中直接扣除。</w:t>
      </w:r>
    </w:p>
    <w:p w14:paraId="20210B9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竣工时承包人负责进行全面清理，包括清洁所有已完成的各专业工程及设备（各专业工程承包商须在专业工程竣工交付前自行完成自身工程范围清洁工作）。承包人应在工程竣工前及时将临时设施（含临时围墙、临时道路等）及施工设备拆除，做到工完场清（含建筑垃圾清运，运费自理），清理标准应获得发包人及监理认可。如承包人拒绝完成或不能按合同要求完成，发包人可安排第三方完成，按实际发生费用从承包人工程款中直接扣除，影响工期的责任由承包人承担。</w:t>
      </w:r>
    </w:p>
    <w:p w14:paraId="77F1D69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施工过程中不得对镇区内现有的道路和设施在未经有关政府部门的批准进行破坏、占道使用或造成污染。若有发生，经监理及发包人签字认定后，每次处2000元的</w:t>
      </w:r>
      <w:r>
        <w:rPr>
          <w:rFonts w:hint="eastAsia" w:ascii="宋体" w:hAnsi="宋体" w:eastAsia="宋体" w:cs="宋体"/>
          <w:bCs/>
          <w:color w:val="auto"/>
          <w:sz w:val="21"/>
          <w:szCs w:val="21"/>
          <w:highlight w:val="none"/>
          <w:lang w:val="en-US" w:eastAsia="zh-CN"/>
        </w:rPr>
        <w:t>违约金</w:t>
      </w:r>
      <w:r>
        <w:rPr>
          <w:rFonts w:hint="eastAsia" w:ascii="宋体" w:hAnsi="宋体" w:eastAsia="宋体" w:cs="宋体"/>
          <w:bCs/>
          <w:color w:val="auto"/>
          <w:sz w:val="21"/>
          <w:szCs w:val="21"/>
          <w:highlight w:val="none"/>
        </w:rPr>
        <w:t>外，还需及时修复及清理到位，承包人拒不实施的，发包人有权另行安排单位进行修复和清理，所产生的费用经审定后从承包人工程款中扣除</w:t>
      </w:r>
      <w:r>
        <w:rPr>
          <w:rFonts w:hint="eastAsia" w:ascii="宋体" w:hAnsi="宋体" w:eastAsia="宋体" w:cs="宋体"/>
          <w:color w:val="auto"/>
          <w:sz w:val="21"/>
          <w:szCs w:val="21"/>
          <w:highlight w:val="none"/>
        </w:rPr>
        <w:t>。</w:t>
      </w:r>
    </w:p>
    <w:p w14:paraId="7F4BB17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6.1.6 关于安全文明施工费支付比例和支付期限的约定：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bookmarkEnd w:id="166"/>
    <w:bookmarkEnd w:id="167"/>
    <w:bookmarkEnd w:id="168"/>
    <w:bookmarkEnd w:id="169"/>
    <w:bookmarkEnd w:id="170"/>
    <w:bookmarkEnd w:id="171"/>
    <w:bookmarkEnd w:id="172"/>
    <w:p w14:paraId="68A329E6">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76" w:name="_Toc51164676"/>
      <w:bookmarkStart w:id="177" w:name="_Toc30057"/>
      <w:bookmarkStart w:id="178" w:name="_Toc351203639"/>
      <w:r>
        <w:rPr>
          <w:rFonts w:hint="eastAsia" w:ascii="宋体" w:hAnsi="宋体" w:eastAsia="宋体" w:cs="宋体"/>
          <w:b/>
          <w:color w:val="auto"/>
          <w:kern w:val="0"/>
          <w:sz w:val="21"/>
          <w:szCs w:val="21"/>
          <w:highlight w:val="none"/>
          <w:lang w:val="en-US" w:eastAsia="zh-CN" w:bidi="ar-SA"/>
        </w:rPr>
        <w:t>7. 工期和进度</w:t>
      </w:r>
      <w:bookmarkEnd w:id="176"/>
      <w:bookmarkEnd w:id="177"/>
      <w:bookmarkEnd w:id="178"/>
    </w:p>
    <w:p w14:paraId="2E14688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施工组织设计</w:t>
      </w:r>
    </w:p>
    <w:p w14:paraId="5B88B0CF">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7.1.1 合</w:t>
      </w:r>
      <w:r>
        <w:rPr>
          <w:rFonts w:hint="eastAsia" w:ascii="宋体" w:hAnsi="宋体" w:eastAsia="宋体" w:cs="宋体"/>
          <w:color w:val="auto"/>
          <w:kern w:val="0"/>
          <w:sz w:val="21"/>
          <w:szCs w:val="21"/>
          <w:highlight w:val="none"/>
        </w:rPr>
        <w:t>同当事人约定的施工组织设计应包括的其他内容：</w:t>
      </w:r>
      <w:r>
        <w:rPr>
          <w:rFonts w:hint="eastAsia" w:ascii="宋体" w:hAnsi="宋体" w:eastAsia="宋体" w:cs="宋体"/>
          <w:bCs/>
          <w:color w:val="auto"/>
          <w:sz w:val="21"/>
          <w:szCs w:val="21"/>
          <w:highlight w:val="none"/>
          <w:u w:val="single"/>
        </w:rPr>
        <w:t>按通用条款规定</w:t>
      </w:r>
      <w:r>
        <w:rPr>
          <w:rFonts w:hint="eastAsia" w:ascii="宋体" w:hAnsi="宋体" w:eastAsia="宋体" w:cs="宋体"/>
          <w:color w:val="auto"/>
          <w:sz w:val="21"/>
          <w:szCs w:val="21"/>
          <w:highlight w:val="none"/>
          <w:u w:val="single"/>
        </w:rPr>
        <w:t>。</w:t>
      </w:r>
    </w:p>
    <w:p w14:paraId="542A81D6">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7.1.2 </w:t>
      </w:r>
      <w:r>
        <w:rPr>
          <w:rFonts w:hint="eastAsia" w:ascii="宋体" w:hAnsi="宋体" w:eastAsia="宋体" w:cs="宋体"/>
          <w:color w:val="auto"/>
          <w:kern w:val="0"/>
          <w:sz w:val="21"/>
          <w:szCs w:val="21"/>
          <w:highlight w:val="none"/>
        </w:rPr>
        <w:t>施工组织设计的提交和修改</w:t>
      </w:r>
    </w:p>
    <w:p w14:paraId="6E1C1747">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承包人提交详细施工组织设计的期限的约定：</w:t>
      </w:r>
      <w:r>
        <w:rPr>
          <w:rFonts w:hint="eastAsia" w:ascii="宋体" w:hAnsi="宋体" w:eastAsia="宋体" w:cs="宋体"/>
          <w:bCs/>
          <w:color w:val="auto"/>
          <w:sz w:val="21"/>
          <w:szCs w:val="21"/>
          <w:highlight w:val="none"/>
          <w:u w:val="single"/>
        </w:rPr>
        <w:t>开工前7天内提供施工进度总计划和有针对性的施工组织设计</w:t>
      </w:r>
      <w:r>
        <w:rPr>
          <w:rFonts w:hint="eastAsia" w:ascii="宋体" w:hAnsi="宋体" w:eastAsia="宋体" w:cs="宋体"/>
          <w:color w:val="auto"/>
          <w:sz w:val="21"/>
          <w:szCs w:val="21"/>
          <w:highlight w:val="none"/>
          <w:u w:val="single"/>
        </w:rPr>
        <w:t>。</w:t>
      </w:r>
    </w:p>
    <w:p w14:paraId="60D3D33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发包人和监理人在收到详细的施工组织设计后确认或提出修改意见的期限：</w:t>
      </w:r>
      <w:r>
        <w:rPr>
          <w:rFonts w:hint="eastAsia" w:ascii="宋体" w:hAnsi="宋体" w:eastAsia="宋体" w:cs="宋体"/>
          <w:bCs/>
          <w:color w:val="auto"/>
          <w:sz w:val="21"/>
          <w:szCs w:val="21"/>
          <w:highlight w:val="none"/>
          <w:u w:val="single"/>
        </w:rPr>
        <w:t>自监理人收到承包人报送的施工组织设计后7天内</w:t>
      </w:r>
      <w:r>
        <w:rPr>
          <w:rFonts w:hint="eastAsia" w:ascii="宋体" w:hAnsi="宋体" w:eastAsia="宋体" w:cs="宋体"/>
          <w:color w:val="auto"/>
          <w:sz w:val="21"/>
          <w:szCs w:val="21"/>
          <w:highlight w:val="none"/>
          <w:u w:val="single"/>
        </w:rPr>
        <w:t>。</w:t>
      </w:r>
    </w:p>
    <w:p w14:paraId="6869BDA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79" w:name="_Toc312677479"/>
      <w:bookmarkStart w:id="180" w:name="_Toc297123514"/>
      <w:bookmarkStart w:id="181" w:name="_Toc297216173"/>
      <w:bookmarkStart w:id="182" w:name="_Toc303539123"/>
      <w:bookmarkStart w:id="183" w:name="_Toc304295541"/>
      <w:bookmarkStart w:id="184" w:name="_Toc312678005"/>
      <w:bookmarkStart w:id="185" w:name="_Toc300934966"/>
      <w:r>
        <w:rPr>
          <w:rFonts w:hint="eastAsia" w:ascii="宋体" w:hAnsi="宋体" w:eastAsia="宋体" w:cs="宋体"/>
          <w:color w:val="auto"/>
          <w:sz w:val="21"/>
          <w:szCs w:val="21"/>
          <w:highlight w:val="none"/>
        </w:rPr>
        <w:t>.2 施工进度计划</w:t>
      </w:r>
    </w:p>
    <w:p w14:paraId="52149F6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7.2.2 施工进度计划的修订</w:t>
      </w:r>
    </w:p>
    <w:p w14:paraId="20D3458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发包人和监理人在收到修订的施工进度计划后确认或提出修改意见的期限：</w:t>
      </w:r>
      <w:r>
        <w:rPr>
          <w:rFonts w:hint="eastAsia" w:ascii="宋体" w:hAnsi="宋体" w:eastAsia="宋体" w:cs="宋体"/>
          <w:bCs/>
          <w:color w:val="auto"/>
          <w:sz w:val="21"/>
          <w:szCs w:val="21"/>
          <w:highlight w:val="none"/>
          <w:u w:val="single"/>
        </w:rPr>
        <w:t>自监理人收到承包人报送的相关进度计划后7天内</w:t>
      </w:r>
      <w:r>
        <w:rPr>
          <w:rFonts w:hint="eastAsia" w:ascii="宋体" w:hAnsi="宋体" w:eastAsia="宋体" w:cs="宋体"/>
          <w:color w:val="auto"/>
          <w:sz w:val="21"/>
          <w:szCs w:val="21"/>
          <w:highlight w:val="none"/>
          <w:u w:val="single"/>
        </w:rPr>
        <w:t>。</w:t>
      </w:r>
    </w:p>
    <w:p w14:paraId="2949C564">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 开工</w:t>
      </w:r>
    </w:p>
    <w:p w14:paraId="2030CC2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开工准备</w:t>
      </w:r>
    </w:p>
    <w:p w14:paraId="15C9436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关于承包人提交</w:t>
      </w:r>
      <w:r>
        <w:rPr>
          <w:rFonts w:hint="eastAsia" w:ascii="宋体" w:hAnsi="宋体" w:eastAsia="宋体" w:cs="宋体"/>
          <w:color w:val="auto"/>
          <w:kern w:val="0"/>
          <w:sz w:val="21"/>
          <w:szCs w:val="21"/>
          <w:highlight w:val="none"/>
        </w:rPr>
        <w:t>工程开工报审表的期限：</w:t>
      </w:r>
      <w:r>
        <w:rPr>
          <w:rFonts w:hint="eastAsia" w:ascii="宋体" w:hAnsi="宋体" w:eastAsia="宋体" w:cs="宋体"/>
          <w:bCs/>
          <w:color w:val="auto"/>
          <w:sz w:val="21"/>
          <w:szCs w:val="21"/>
          <w:highlight w:val="none"/>
          <w:u w:val="single"/>
        </w:rPr>
        <w:t>在工程准备工作完成后，计划开工日期前7天提交开工报审表</w:t>
      </w:r>
      <w:r>
        <w:rPr>
          <w:rFonts w:hint="eastAsia" w:ascii="宋体" w:hAnsi="宋体" w:eastAsia="宋体" w:cs="宋体"/>
          <w:color w:val="auto"/>
          <w:sz w:val="21"/>
          <w:szCs w:val="21"/>
          <w:highlight w:val="none"/>
          <w:u w:val="single"/>
        </w:rPr>
        <w:t>。</w:t>
      </w:r>
    </w:p>
    <w:p w14:paraId="1FA2C2A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关于发包人应完成的其他开工准备工作及期限：</w:t>
      </w:r>
      <w:r>
        <w:rPr>
          <w:rFonts w:hint="eastAsia" w:ascii="宋体" w:hAnsi="宋体" w:eastAsia="宋体" w:cs="宋体"/>
          <w:bCs/>
          <w:color w:val="auto"/>
          <w:sz w:val="21"/>
          <w:szCs w:val="21"/>
          <w:highlight w:val="none"/>
          <w:u w:val="single"/>
        </w:rPr>
        <w:t>计划开工日期前7天</w:t>
      </w:r>
      <w:r>
        <w:rPr>
          <w:rFonts w:hint="eastAsia" w:ascii="宋体" w:hAnsi="宋体" w:eastAsia="宋体" w:cs="宋体"/>
          <w:color w:val="auto"/>
          <w:sz w:val="21"/>
          <w:szCs w:val="21"/>
          <w:highlight w:val="none"/>
          <w:u w:val="single"/>
        </w:rPr>
        <w:t>。</w:t>
      </w:r>
    </w:p>
    <w:p w14:paraId="57701EB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关于承包人应完成的其他开工准备工作及期限：</w:t>
      </w:r>
      <w:r>
        <w:rPr>
          <w:rFonts w:hint="eastAsia" w:ascii="宋体" w:hAnsi="宋体" w:eastAsia="宋体" w:cs="宋体"/>
          <w:bCs/>
          <w:color w:val="auto"/>
          <w:sz w:val="21"/>
          <w:szCs w:val="21"/>
          <w:highlight w:val="none"/>
          <w:u w:val="single"/>
        </w:rPr>
        <w:t>计划开工日期前7天</w:t>
      </w:r>
      <w:r>
        <w:rPr>
          <w:rFonts w:hint="eastAsia" w:ascii="宋体" w:hAnsi="宋体" w:eastAsia="宋体" w:cs="宋体"/>
          <w:color w:val="auto"/>
          <w:sz w:val="21"/>
          <w:szCs w:val="21"/>
          <w:highlight w:val="none"/>
          <w:u w:val="single"/>
        </w:rPr>
        <w:t>。</w:t>
      </w:r>
    </w:p>
    <w:p w14:paraId="02A2F68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开工通知</w:t>
      </w:r>
    </w:p>
    <w:p w14:paraId="79AD30A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因发包人原因造成监理人未能在计划开工日期之日起</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天内发出开工通知的，承包人有权提出价格调整要求，或者解除合同。</w:t>
      </w:r>
    </w:p>
    <w:bookmarkEnd w:id="179"/>
    <w:bookmarkEnd w:id="180"/>
    <w:bookmarkEnd w:id="181"/>
    <w:bookmarkEnd w:id="182"/>
    <w:bookmarkEnd w:id="183"/>
    <w:bookmarkEnd w:id="184"/>
    <w:bookmarkEnd w:id="185"/>
    <w:p w14:paraId="29A40F2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 测量放线</w:t>
      </w:r>
    </w:p>
    <w:p w14:paraId="69D3A60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7.4.1 发包人通过监理人向承包人提供测量基准点、基准线和水准点及其书面资料的期限：</w:t>
      </w:r>
      <w:r>
        <w:rPr>
          <w:rFonts w:hint="eastAsia" w:ascii="宋体" w:hAnsi="宋体" w:eastAsia="宋体" w:cs="宋体"/>
          <w:bCs/>
          <w:color w:val="auto"/>
          <w:sz w:val="21"/>
          <w:szCs w:val="21"/>
          <w:highlight w:val="none"/>
          <w:u w:val="single"/>
        </w:rPr>
        <w:t>根据工程实际进度</w:t>
      </w:r>
      <w:r>
        <w:rPr>
          <w:rFonts w:hint="eastAsia" w:ascii="宋体" w:hAnsi="宋体" w:eastAsia="宋体" w:cs="宋体"/>
          <w:color w:val="auto"/>
          <w:sz w:val="21"/>
          <w:szCs w:val="21"/>
          <w:highlight w:val="none"/>
          <w:u w:val="single"/>
        </w:rPr>
        <w:t>。</w:t>
      </w:r>
    </w:p>
    <w:p w14:paraId="3E0839A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86" w:name="_Toc303539125"/>
      <w:bookmarkStart w:id="187" w:name="_Toc300934968"/>
      <w:bookmarkStart w:id="188" w:name="_Toc304295546"/>
      <w:bookmarkStart w:id="189" w:name="_Toc297123516"/>
      <w:bookmarkStart w:id="190" w:name="_Toc297216175"/>
      <w:bookmarkStart w:id="191" w:name="_Toc312677484"/>
      <w:bookmarkStart w:id="192" w:name="_Toc312678010"/>
      <w:r>
        <w:rPr>
          <w:rFonts w:hint="eastAsia" w:ascii="宋体" w:hAnsi="宋体" w:eastAsia="宋体" w:cs="宋体"/>
          <w:color w:val="auto"/>
          <w:sz w:val="21"/>
          <w:szCs w:val="21"/>
          <w:highlight w:val="none"/>
        </w:rPr>
        <w:t>.5 工期延误</w:t>
      </w:r>
    </w:p>
    <w:bookmarkEnd w:id="186"/>
    <w:bookmarkEnd w:id="187"/>
    <w:bookmarkEnd w:id="188"/>
    <w:bookmarkEnd w:id="189"/>
    <w:bookmarkEnd w:id="190"/>
    <w:bookmarkEnd w:id="191"/>
    <w:bookmarkEnd w:id="192"/>
    <w:p w14:paraId="0F8EC00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7.5.1 因发包人原因导致工期延误</w:t>
      </w:r>
    </w:p>
    <w:p w14:paraId="5A2C6E2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bookmarkStart w:id="193" w:name="_Toc312678014"/>
      <w:bookmarkStart w:id="194" w:name="_Toc318581171"/>
      <w:r>
        <w:rPr>
          <w:rFonts w:hint="eastAsia" w:ascii="宋体" w:hAnsi="宋体" w:eastAsia="宋体" w:cs="宋体"/>
          <w:color w:val="auto"/>
          <w:sz w:val="21"/>
          <w:szCs w:val="21"/>
          <w:highlight w:val="none"/>
        </w:rPr>
        <w:t>（7）因发包人原因导致工期延误的其他情形：</w:t>
      </w:r>
      <w:r>
        <w:rPr>
          <w:rFonts w:hint="eastAsia" w:ascii="宋体" w:hAnsi="宋体" w:eastAsia="宋体" w:cs="宋体"/>
          <w:bCs/>
          <w:color w:val="auto"/>
          <w:sz w:val="21"/>
          <w:szCs w:val="21"/>
          <w:highlight w:val="none"/>
          <w:u w:val="single"/>
        </w:rPr>
        <w:t>由于发包人原因和国家行政相关要求的停工（非承包方的责任），经发包人同意，工期可顺延</w:t>
      </w:r>
      <w:r>
        <w:rPr>
          <w:rFonts w:hint="eastAsia" w:ascii="宋体" w:hAnsi="宋体" w:eastAsia="宋体" w:cs="宋体"/>
          <w:color w:val="auto"/>
          <w:sz w:val="21"/>
          <w:szCs w:val="21"/>
          <w:highlight w:val="none"/>
          <w:u w:val="single"/>
        </w:rPr>
        <w:t>。</w:t>
      </w:r>
    </w:p>
    <w:p w14:paraId="02E29F6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95" w:name="_Toc312678012"/>
      <w:bookmarkStart w:id="196" w:name="_Toc312677486"/>
      <w:bookmarkStart w:id="197" w:name="_Toc318581169"/>
      <w:bookmarkStart w:id="198" w:name="_Toc297216177"/>
      <w:bookmarkStart w:id="199" w:name="_Toc297123518"/>
      <w:bookmarkStart w:id="200" w:name="_Toc303539127"/>
      <w:bookmarkStart w:id="201" w:name="_Toc300934970"/>
      <w:bookmarkStart w:id="202" w:name="_Toc304295548"/>
      <w:r>
        <w:rPr>
          <w:rFonts w:hint="eastAsia" w:ascii="宋体" w:hAnsi="宋体" w:eastAsia="宋体" w:cs="宋体"/>
          <w:color w:val="auto"/>
          <w:sz w:val="21"/>
          <w:szCs w:val="21"/>
          <w:highlight w:val="none"/>
        </w:rPr>
        <w:t>.5.2 因承包人原因导致工期延误</w:t>
      </w:r>
    </w:p>
    <w:bookmarkEnd w:id="195"/>
    <w:bookmarkEnd w:id="196"/>
    <w:bookmarkEnd w:id="197"/>
    <w:p w14:paraId="0C9684B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因</w:t>
      </w:r>
      <w:bookmarkStart w:id="203" w:name="_Toc312677487"/>
      <w:bookmarkStart w:id="204" w:name="_Toc312678013"/>
      <w:bookmarkStart w:id="205" w:name="_Toc318581170"/>
      <w:r>
        <w:rPr>
          <w:rFonts w:hint="eastAsia" w:ascii="宋体" w:hAnsi="宋体" w:eastAsia="宋体" w:cs="宋体"/>
          <w:color w:val="auto"/>
          <w:sz w:val="21"/>
          <w:szCs w:val="21"/>
          <w:highlight w:val="none"/>
        </w:rPr>
        <w:t>承包人原因造成工期延误，逾期竣工违约金的计算方法为：</w:t>
      </w:r>
    </w:p>
    <w:p w14:paraId="463F3EF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按中标工程总价的万分之</w:t>
      </w:r>
      <w:r>
        <w:rPr>
          <w:rFonts w:hint="eastAsia" w:ascii="宋体" w:hAnsi="宋体" w:eastAsia="宋体" w:cs="宋体"/>
          <w:color w:val="auto"/>
          <w:sz w:val="21"/>
          <w:szCs w:val="21"/>
          <w:highlight w:val="none"/>
          <w:u w:val="single"/>
          <w:lang w:val="en-US" w:eastAsia="zh-CN"/>
        </w:rPr>
        <w:t>五</w:t>
      </w:r>
      <w:r>
        <w:rPr>
          <w:rFonts w:hint="eastAsia" w:ascii="宋体" w:hAnsi="宋体" w:eastAsia="宋体" w:cs="宋体"/>
          <w:color w:val="auto"/>
          <w:sz w:val="21"/>
          <w:szCs w:val="21"/>
          <w:highlight w:val="none"/>
          <w:u w:val="single"/>
        </w:rPr>
        <w:t>/天向发包人支付延期违约金，得到发包人认可的延期除外。因承包人原因造成工期延误</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天以上（对比同期工程总进度计划），除扣除相应延期违约金外，承包人必须制定相应的赶工计划和赶工措施，赶工不力或拒不赶工的，工期延误</w:t>
      </w: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u w:val="single"/>
        </w:rPr>
        <w:t>天以上（对比同期工程总进度计划），发包人有权解除合同。</w:t>
      </w:r>
      <w:bookmarkEnd w:id="198"/>
      <w:bookmarkEnd w:id="199"/>
      <w:bookmarkEnd w:id="200"/>
      <w:bookmarkEnd w:id="201"/>
      <w:bookmarkEnd w:id="202"/>
      <w:bookmarkEnd w:id="203"/>
      <w:bookmarkEnd w:id="204"/>
    </w:p>
    <w:bookmarkEnd w:id="193"/>
    <w:bookmarkEnd w:id="194"/>
    <w:bookmarkEnd w:id="205"/>
    <w:p w14:paraId="7F394D6D">
      <w:pPr>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因承包人原因造成工期延误，逾期竣工违约金的上限：</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rPr>
        <w:t>。</w:t>
      </w:r>
    </w:p>
    <w:p w14:paraId="3ACD8465">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06" w:name="_Toc351203640"/>
      <w:bookmarkStart w:id="207" w:name="_Toc51164677"/>
      <w:bookmarkStart w:id="208" w:name="_Toc14214"/>
      <w:r>
        <w:rPr>
          <w:rFonts w:hint="eastAsia" w:ascii="宋体" w:hAnsi="宋体" w:eastAsia="宋体" w:cs="宋体"/>
          <w:b/>
          <w:color w:val="auto"/>
          <w:kern w:val="0"/>
          <w:sz w:val="21"/>
          <w:szCs w:val="21"/>
          <w:highlight w:val="none"/>
          <w:lang w:val="en-US" w:eastAsia="zh-CN" w:bidi="ar-SA"/>
        </w:rPr>
        <w:t>8. 材料与设备</w:t>
      </w:r>
      <w:bookmarkEnd w:id="206"/>
      <w:bookmarkEnd w:id="207"/>
      <w:bookmarkEnd w:id="208"/>
    </w:p>
    <w:bookmarkEnd w:id="156"/>
    <w:bookmarkEnd w:id="157"/>
    <w:bookmarkEnd w:id="158"/>
    <w:bookmarkEnd w:id="159"/>
    <w:bookmarkEnd w:id="160"/>
    <w:bookmarkEnd w:id="161"/>
    <w:bookmarkEnd w:id="162"/>
    <w:bookmarkEnd w:id="163"/>
    <w:bookmarkEnd w:id="164"/>
    <w:bookmarkEnd w:id="165"/>
    <w:p w14:paraId="6619A56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209" w:name="_Toc297120467"/>
      <w:bookmarkStart w:id="210" w:name="_Toc296347166"/>
      <w:bookmarkStart w:id="211" w:name="_Toc296944506"/>
      <w:bookmarkStart w:id="212" w:name="_Toc296503167"/>
      <w:bookmarkStart w:id="213" w:name="_Toc304295556"/>
      <w:bookmarkStart w:id="214" w:name="_Toc280868654"/>
      <w:bookmarkStart w:id="215" w:name="_Toc312677493"/>
      <w:bookmarkStart w:id="216" w:name="_Toc312678019"/>
      <w:bookmarkStart w:id="217" w:name="_Toc300934979"/>
      <w:bookmarkStart w:id="218" w:name="_Toc292559877"/>
      <w:bookmarkStart w:id="219" w:name="_Toc292559372"/>
      <w:bookmarkStart w:id="220" w:name="_Toc296346668"/>
      <w:bookmarkStart w:id="221" w:name="_Toc296891207"/>
      <w:bookmarkStart w:id="222" w:name="_Toc297048353"/>
      <w:bookmarkStart w:id="223" w:name="_Toc297123527"/>
      <w:bookmarkStart w:id="224" w:name="_Toc297216186"/>
      <w:bookmarkStart w:id="225" w:name="_Toc303539136"/>
      <w:bookmarkStart w:id="226" w:name="_Toc296890995"/>
      <w:bookmarkStart w:id="227" w:name="_Toc280868655"/>
      <w:bookmarkStart w:id="228" w:name="_Toc267251424"/>
      <w:bookmarkStart w:id="229" w:name="_Toc280868656"/>
      <w:r>
        <w:rPr>
          <w:rFonts w:hint="eastAsia" w:ascii="宋体" w:hAnsi="宋体" w:eastAsia="宋体" w:cs="宋体"/>
          <w:color w:val="auto"/>
          <w:sz w:val="21"/>
          <w:szCs w:val="21"/>
          <w:highlight w:val="none"/>
        </w:rPr>
        <w:t>.4 材料与工程设备的保管与使用</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659B500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bookmarkStart w:id="230" w:name="_Toc318581173"/>
      <w:bookmarkStart w:id="231" w:name="_Toc297048354"/>
      <w:bookmarkStart w:id="232" w:name="_Toc297216187"/>
      <w:bookmarkStart w:id="233" w:name="_Toc296347167"/>
      <w:bookmarkStart w:id="234" w:name="_Toc297120468"/>
      <w:bookmarkStart w:id="235" w:name="_Toc312677494"/>
      <w:bookmarkStart w:id="236" w:name="_Toc300934980"/>
      <w:bookmarkStart w:id="237" w:name="_Toc304295557"/>
      <w:bookmarkStart w:id="238" w:name="_Toc296890996"/>
      <w:bookmarkStart w:id="239" w:name="_Toc303539137"/>
      <w:bookmarkStart w:id="240" w:name="_Toc296891208"/>
      <w:bookmarkStart w:id="241" w:name="_Toc296944507"/>
      <w:bookmarkStart w:id="242" w:name="_Toc312678020"/>
      <w:bookmarkStart w:id="243" w:name="_Toc296503168"/>
      <w:bookmarkStart w:id="244" w:name="_Toc296346669"/>
      <w:bookmarkStart w:id="245" w:name="_Toc297123528"/>
      <w:r>
        <w:rPr>
          <w:rFonts w:hint="eastAsia" w:ascii="宋体" w:hAnsi="宋体" w:eastAsia="宋体" w:cs="宋体"/>
          <w:color w:val="auto"/>
          <w:sz w:val="21"/>
          <w:szCs w:val="21"/>
          <w:highlight w:val="none"/>
        </w:rPr>
        <w:t>8</w:t>
      </w:r>
      <w:bookmarkStart w:id="246" w:name="_Toc292559373"/>
      <w:bookmarkStart w:id="247" w:name="_Toc292559878"/>
      <w:r>
        <w:rPr>
          <w:rFonts w:hint="eastAsia" w:ascii="宋体" w:hAnsi="宋体" w:eastAsia="宋体" w:cs="宋体"/>
          <w:color w:val="auto"/>
          <w:sz w:val="21"/>
          <w:szCs w:val="21"/>
          <w:highlight w:val="none"/>
        </w:rPr>
        <w:t>.4.1 发包人供应的材料设备的保管费用的承担：</w:t>
      </w:r>
      <w:r>
        <w:rPr>
          <w:rFonts w:hint="eastAsia" w:ascii="宋体" w:hAnsi="宋体" w:eastAsia="宋体" w:cs="宋体"/>
          <w:bCs/>
          <w:color w:val="auto"/>
          <w:sz w:val="21"/>
          <w:szCs w:val="21"/>
          <w:highlight w:val="none"/>
          <w:u w:val="single"/>
        </w:rPr>
        <w:t>发包人供应的材料设备，承包人派人参加清点后由承包人妥善保管，发生丢失损坏，由承包人负责赔偿。</w:t>
      </w:r>
    </w:p>
    <w:p w14:paraId="25D0BF7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8.4.2 承包人提供的材料和设备：</w:t>
      </w:r>
      <w:r>
        <w:rPr>
          <w:rFonts w:hint="eastAsia" w:ascii="宋体" w:hAnsi="宋体" w:eastAsia="宋体" w:cs="宋体"/>
          <w:bCs/>
          <w:color w:val="auto"/>
          <w:sz w:val="21"/>
          <w:szCs w:val="21"/>
          <w:highlight w:val="none"/>
          <w:u w:val="single"/>
        </w:rPr>
        <w:t>按通用条款执行。</w:t>
      </w:r>
      <w:bookmarkEnd w:id="246"/>
      <w:bookmarkEnd w:id="247"/>
    </w:p>
    <w:p w14:paraId="3962960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 样品</w:t>
      </w:r>
    </w:p>
    <w:p w14:paraId="446A81A3">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8.6.1 样品的报送与封存</w:t>
      </w:r>
    </w:p>
    <w:p w14:paraId="4B0F4D3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需要承包人报送样品的材料或工程设备，样品的种类、名称、规格、数量要求：</w:t>
      </w:r>
      <w:r>
        <w:rPr>
          <w:rFonts w:hint="eastAsia" w:ascii="宋体" w:hAnsi="宋体" w:eastAsia="宋体" w:cs="宋体"/>
          <w:bCs/>
          <w:color w:val="auto"/>
          <w:sz w:val="21"/>
          <w:szCs w:val="21"/>
          <w:highlight w:val="none"/>
          <w:u w:val="single"/>
        </w:rPr>
        <w:t>（1）要求工程材料的质量及检验资料须达到设计要求及国家现行验收规范；（2）本工程涉及外观材料材质、规格、颜色须经发包人书面确认后方可采购；（3）材料进场前，承包人应及时向监理工程师提交质量证明材料和《工程材料进场报验单》，经审查同意并签署意见后方能进场使用。材料未经报审同意，承包人擅自用于工程的，应无条件返工，并承担由此产生的相关责任。（4）本工程所使用材料应按要求进行检测，送检合格，检测费用由发包人承担；送检不合格，检测费用由承包人承担。检测不合格的材料，如已使用于工程，应无条件返工，如未使用于工程，由监理标识后，限时运出场外</w:t>
      </w:r>
      <w:r>
        <w:rPr>
          <w:rFonts w:hint="eastAsia" w:ascii="宋体" w:hAnsi="宋体" w:eastAsia="宋体" w:cs="宋体"/>
          <w:color w:val="auto"/>
          <w:sz w:val="21"/>
          <w:szCs w:val="21"/>
          <w:highlight w:val="none"/>
          <w:u w:val="single"/>
        </w:rPr>
        <w:t>。</w:t>
      </w:r>
    </w:p>
    <w:p w14:paraId="6529981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 施工设备和临时设施</w:t>
      </w:r>
    </w:p>
    <w:p w14:paraId="7A837770">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承包人提供的施工设备和临时设施</w:t>
      </w:r>
    </w:p>
    <w:p w14:paraId="7B074C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469D15BA">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48" w:name="_Toc8498"/>
      <w:bookmarkStart w:id="249" w:name="_Toc51164678"/>
      <w:bookmarkStart w:id="250" w:name="_Toc351203641"/>
      <w:r>
        <w:rPr>
          <w:rFonts w:hint="eastAsia" w:ascii="宋体" w:hAnsi="宋体" w:eastAsia="宋体" w:cs="宋体"/>
          <w:b/>
          <w:color w:val="auto"/>
          <w:kern w:val="0"/>
          <w:sz w:val="21"/>
          <w:szCs w:val="21"/>
          <w:highlight w:val="none"/>
          <w:lang w:val="en-US" w:eastAsia="zh-CN" w:bidi="ar-SA"/>
        </w:rPr>
        <w:t>9</w:t>
      </w:r>
      <w:bookmarkEnd w:id="227"/>
      <w:bookmarkEnd w:id="228"/>
      <w:bookmarkEnd w:id="229"/>
      <w:bookmarkStart w:id="251" w:name="_Toc303539139"/>
      <w:bookmarkStart w:id="252" w:name="_Toc304295559"/>
      <w:bookmarkStart w:id="253" w:name="_Toc312678021"/>
      <w:bookmarkStart w:id="254" w:name="_Toc297123533"/>
      <w:bookmarkStart w:id="255" w:name="_Toc312677495"/>
      <w:bookmarkStart w:id="256" w:name="_Toc297216192"/>
      <w:bookmarkStart w:id="257" w:name="_Toc300934982"/>
      <w:bookmarkStart w:id="258" w:name="_Toc296503173"/>
      <w:bookmarkStart w:id="259" w:name="_Toc292559883"/>
      <w:bookmarkStart w:id="260" w:name="_Toc296891001"/>
      <w:bookmarkStart w:id="261" w:name="_Toc267251427"/>
      <w:bookmarkStart w:id="262" w:name="_Toc296944512"/>
      <w:bookmarkStart w:id="263" w:name="_Toc296346674"/>
      <w:bookmarkStart w:id="264" w:name="_Toc296347172"/>
      <w:bookmarkStart w:id="265" w:name="_Toc297048359"/>
      <w:bookmarkStart w:id="266" w:name="_Toc267251428"/>
      <w:bookmarkStart w:id="267" w:name="_Toc292559378"/>
      <w:bookmarkStart w:id="268" w:name="_Toc296891213"/>
      <w:bookmarkStart w:id="269" w:name="_Toc297120473"/>
      <w:r>
        <w:rPr>
          <w:rFonts w:hint="eastAsia" w:ascii="宋体" w:hAnsi="宋体" w:eastAsia="宋体" w:cs="宋体"/>
          <w:b/>
          <w:color w:val="auto"/>
          <w:kern w:val="0"/>
          <w:sz w:val="21"/>
          <w:szCs w:val="21"/>
          <w:highlight w:val="none"/>
          <w:lang w:val="en-US" w:eastAsia="zh-CN" w:bidi="ar-SA"/>
        </w:rPr>
        <w:t>. 试验与检验</w:t>
      </w:r>
      <w:bookmarkEnd w:id="248"/>
      <w:bookmarkEnd w:id="249"/>
      <w:bookmarkEnd w:id="250"/>
    </w:p>
    <w:bookmarkEnd w:id="251"/>
    <w:bookmarkEnd w:id="252"/>
    <w:bookmarkEnd w:id="253"/>
    <w:bookmarkEnd w:id="254"/>
    <w:bookmarkEnd w:id="255"/>
    <w:bookmarkEnd w:id="256"/>
    <w:bookmarkEnd w:id="257"/>
    <w:p w14:paraId="7AB678E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bookmarkStart w:id="270" w:name="_Toc312678022"/>
      <w:bookmarkStart w:id="271" w:name="_Toc304295560"/>
      <w:bookmarkStart w:id="272" w:name="_Toc312677496"/>
      <w:bookmarkStart w:id="273" w:name="_Toc300934983"/>
      <w:bookmarkStart w:id="274" w:name="_Toc303539140"/>
      <w:bookmarkStart w:id="275" w:name="_Toc297216193"/>
      <w:bookmarkStart w:id="276" w:name="_Toc297123534"/>
      <w:r>
        <w:rPr>
          <w:rFonts w:hint="eastAsia" w:ascii="宋体" w:hAnsi="宋体" w:eastAsia="宋体" w:cs="宋体"/>
          <w:color w:val="auto"/>
          <w:sz w:val="21"/>
          <w:szCs w:val="21"/>
          <w:highlight w:val="none"/>
        </w:rPr>
        <w:t>.1 试验设备与试验人员</w:t>
      </w:r>
    </w:p>
    <w:bookmarkEnd w:id="270"/>
    <w:bookmarkEnd w:id="271"/>
    <w:bookmarkEnd w:id="272"/>
    <w:bookmarkEnd w:id="273"/>
    <w:bookmarkEnd w:id="274"/>
    <w:bookmarkEnd w:id="275"/>
    <w:bookmarkEnd w:id="276"/>
    <w:p w14:paraId="1D0046E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w:t>
      </w:r>
      <w:bookmarkStart w:id="277" w:name="_Toc297123535"/>
      <w:bookmarkStart w:id="278" w:name="_Toc297216194"/>
      <w:bookmarkStart w:id="279" w:name="_Toc312678023"/>
      <w:bookmarkStart w:id="280" w:name="_Toc312677497"/>
      <w:bookmarkStart w:id="281" w:name="_Toc300934984"/>
      <w:bookmarkStart w:id="282" w:name="_Toc303539141"/>
      <w:bookmarkStart w:id="283" w:name="_Toc304295561"/>
      <w:bookmarkStart w:id="284" w:name="_Toc318581174"/>
      <w:r>
        <w:rPr>
          <w:rFonts w:hint="eastAsia" w:ascii="宋体" w:hAnsi="宋体" w:eastAsia="宋体" w:cs="宋体"/>
          <w:color w:val="auto"/>
          <w:sz w:val="21"/>
          <w:szCs w:val="21"/>
          <w:highlight w:val="none"/>
        </w:rPr>
        <w:t>.1.2 试验设备</w:t>
      </w:r>
      <w:bookmarkEnd w:id="277"/>
      <w:bookmarkEnd w:id="278"/>
      <w:bookmarkEnd w:id="279"/>
      <w:bookmarkEnd w:id="280"/>
      <w:bookmarkEnd w:id="281"/>
      <w:bookmarkEnd w:id="282"/>
      <w:bookmarkEnd w:id="283"/>
      <w:bookmarkStart w:id="285" w:name="_Toc297123536"/>
      <w:bookmarkStart w:id="286" w:name="_Toc297216195"/>
      <w:bookmarkStart w:id="287" w:name="_Toc300934985"/>
      <w:bookmarkStart w:id="288" w:name="_Toc312677498"/>
      <w:bookmarkStart w:id="289" w:name="_Toc312678024"/>
      <w:bookmarkStart w:id="290" w:name="_Toc304295562"/>
      <w:bookmarkStart w:id="291" w:name="_Toc303539142"/>
      <w:r>
        <w:rPr>
          <w:rFonts w:hint="eastAsia" w:ascii="宋体" w:hAnsi="宋体" w:eastAsia="宋体" w:cs="宋体"/>
          <w:color w:val="auto"/>
          <w:sz w:val="21"/>
          <w:szCs w:val="21"/>
          <w:highlight w:val="none"/>
        </w:rPr>
        <w:t>：</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p w14:paraId="0DA132A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61B9EBA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现场工艺试验的有关约定：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bookmarkEnd w:id="284"/>
    <w:bookmarkEnd w:id="285"/>
    <w:bookmarkEnd w:id="286"/>
    <w:bookmarkEnd w:id="287"/>
    <w:bookmarkEnd w:id="288"/>
    <w:bookmarkEnd w:id="289"/>
    <w:bookmarkEnd w:id="290"/>
    <w:bookmarkEnd w:id="291"/>
    <w:p w14:paraId="67291952">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92" w:name="_Toc32337"/>
      <w:bookmarkStart w:id="293" w:name="_Toc51164679"/>
      <w:bookmarkStart w:id="294" w:name="_Toc351203642"/>
      <w:r>
        <w:rPr>
          <w:rFonts w:hint="eastAsia" w:ascii="宋体" w:hAnsi="宋体" w:eastAsia="宋体" w:cs="宋体"/>
          <w:b/>
          <w:color w:val="auto"/>
          <w:kern w:val="0"/>
          <w:sz w:val="21"/>
          <w:szCs w:val="21"/>
          <w:highlight w:val="none"/>
          <w:lang w:val="en-US" w:eastAsia="zh-CN" w:bidi="ar-SA"/>
        </w:rPr>
        <w:t>1</w:t>
      </w:r>
      <w:bookmarkEnd w:id="258"/>
      <w:bookmarkEnd w:id="259"/>
      <w:bookmarkEnd w:id="260"/>
      <w:bookmarkEnd w:id="261"/>
      <w:bookmarkEnd w:id="262"/>
      <w:bookmarkEnd w:id="263"/>
      <w:bookmarkEnd w:id="264"/>
      <w:bookmarkEnd w:id="265"/>
      <w:bookmarkEnd w:id="266"/>
      <w:bookmarkEnd w:id="267"/>
      <w:bookmarkEnd w:id="268"/>
      <w:bookmarkEnd w:id="269"/>
      <w:bookmarkStart w:id="295" w:name="_Toc297216199"/>
      <w:bookmarkStart w:id="296" w:name="_Toc304295566"/>
      <w:bookmarkStart w:id="297" w:name="_Toc296346694"/>
      <w:bookmarkStart w:id="298" w:name="_Toc292559903"/>
      <w:bookmarkStart w:id="299" w:name="_Toc296944532"/>
      <w:bookmarkStart w:id="300" w:name="_Toc296891021"/>
      <w:bookmarkStart w:id="301" w:name="_Toc297123540"/>
      <w:bookmarkStart w:id="302" w:name="_Toc296347192"/>
      <w:bookmarkStart w:id="303" w:name="_Toc296503193"/>
      <w:bookmarkStart w:id="304" w:name="_Toc300934989"/>
      <w:bookmarkStart w:id="305" w:name="_Toc297048379"/>
      <w:bookmarkStart w:id="306" w:name="_Toc297120493"/>
      <w:bookmarkStart w:id="307" w:name="_Toc296891233"/>
      <w:bookmarkStart w:id="308" w:name="_Toc303539146"/>
      <w:bookmarkStart w:id="309" w:name="_Toc292559398"/>
      <w:bookmarkStart w:id="310" w:name="_Toc312677499"/>
      <w:bookmarkStart w:id="311" w:name="_Toc312678025"/>
      <w:bookmarkStart w:id="312" w:name="_Toc267251440"/>
      <w:bookmarkStart w:id="313" w:name="_Toc267251433"/>
      <w:bookmarkStart w:id="314" w:name="_Toc267251441"/>
      <w:bookmarkStart w:id="315" w:name="_Toc267251439"/>
      <w:bookmarkStart w:id="316" w:name="_Toc267251437"/>
      <w:bookmarkStart w:id="317" w:name="_Toc267251435"/>
      <w:bookmarkStart w:id="318" w:name="_Toc267251442"/>
      <w:r>
        <w:rPr>
          <w:rFonts w:hint="eastAsia" w:ascii="宋体" w:hAnsi="宋体" w:eastAsia="宋体" w:cs="宋体"/>
          <w:b/>
          <w:color w:val="auto"/>
          <w:kern w:val="0"/>
          <w:sz w:val="21"/>
          <w:szCs w:val="21"/>
          <w:highlight w:val="none"/>
          <w:lang w:val="en-US" w:eastAsia="zh-CN" w:bidi="ar-SA"/>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bookmarkEnd w:id="310"/>
    <w:bookmarkEnd w:id="311"/>
    <w:p w14:paraId="15463C0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19" w:name="_Toc296944533"/>
      <w:bookmarkStart w:id="320" w:name="_Toc304295567"/>
      <w:bookmarkStart w:id="321" w:name="_Toc296891234"/>
      <w:bookmarkStart w:id="322" w:name="_Toc300934990"/>
      <w:bookmarkStart w:id="323" w:name="_Toc296346695"/>
      <w:bookmarkStart w:id="324" w:name="_Toc303539147"/>
      <w:bookmarkStart w:id="325" w:name="_Toc296503194"/>
      <w:bookmarkStart w:id="326" w:name="_Toc296347193"/>
      <w:bookmarkStart w:id="327" w:name="_Toc296891022"/>
      <w:bookmarkStart w:id="328" w:name="_Toc292559904"/>
      <w:bookmarkStart w:id="329" w:name="_Toc312677500"/>
      <w:bookmarkStart w:id="330" w:name="_Toc297120494"/>
      <w:bookmarkStart w:id="331" w:name="_Toc297216200"/>
      <w:bookmarkStart w:id="332" w:name="_Toc297123541"/>
      <w:bookmarkStart w:id="333" w:name="_Toc297048380"/>
      <w:bookmarkStart w:id="334" w:name="_Toc292559399"/>
      <w:bookmarkStart w:id="335" w:name="_Toc312678026"/>
      <w:r>
        <w:rPr>
          <w:rFonts w:hint="eastAsia" w:ascii="宋体" w:hAnsi="宋体" w:eastAsia="宋体" w:cs="宋体"/>
          <w:color w:val="auto"/>
          <w:sz w:val="21"/>
          <w:szCs w:val="21"/>
          <w:highlight w:val="none"/>
        </w:rPr>
        <w:t>0.1 变更的范围</w:t>
      </w:r>
    </w:p>
    <w:p w14:paraId="7CED8CF3">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关于变更的范围的约定：</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1D5383A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 变更估价</w:t>
      </w:r>
    </w:p>
    <w:p w14:paraId="5D9539D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6BF7CE8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rPr>
        <w:t>关于变更估价的约定：</w:t>
      </w:r>
      <w:r>
        <w:rPr>
          <w:rFonts w:hint="eastAsia" w:ascii="宋体" w:hAnsi="宋体" w:eastAsia="宋体" w:cs="宋体"/>
          <w:bCs/>
          <w:color w:val="auto"/>
          <w:sz w:val="21"/>
          <w:szCs w:val="21"/>
          <w:highlight w:val="none"/>
          <w:u w:val="single"/>
        </w:rPr>
        <w:t>1、变更项目清单计价工程量结算方法：由承包人提出，经监理人、发包人和跟踪审计（如有）审定后的数量进行结算。变更项目清单计价综合单价的结算方法：</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报价中已有适用于变更工程的价格，按</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的综合单价结算，但采用不平衡报价且明显高于市场价的子目变更，其单价将在满足该子目中标工程量15%范围内采纳其报价，超出15%(含)以外的工程量按无适用或类似于变更工程的价格的方法确定价格；</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报价中无适用或类似于变更工程的价格的，承包人应按本专用条款第12条之风险范围以外合同价格的调整方法c 中确定的方法计算。</w:t>
      </w:r>
    </w:p>
    <w:p w14:paraId="2B948359">
      <w:pPr>
        <w:pageBreakBefore w:val="0"/>
        <w:widowControl w:val="0"/>
        <w:kinsoku/>
        <w:wordWrap/>
        <w:overflowPunct/>
        <w:topLinePunct w:val="0"/>
        <w:bidi w:val="0"/>
        <w:snapToGrid/>
        <w:spacing w:line="40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Start w:id="336" w:name="_Toc292559907"/>
      <w:bookmarkStart w:id="337" w:name="_Toc297123544"/>
      <w:bookmarkStart w:id="338" w:name="_Toc303539150"/>
      <w:bookmarkStart w:id="339" w:name="_Toc297048383"/>
      <w:bookmarkStart w:id="340" w:name="_Toc292559402"/>
      <w:bookmarkStart w:id="341" w:name="_Toc297216203"/>
      <w:bookmarkStart w:id="342" w:name="_Toc297120497"/>
      <w:bookmarkStart w:id="343" w:name="_Toc296503197"/>
      <w:bookmarkStart w:id="344" w:name="_Toc296944536"/>
      <w:bookmarkStart w:id="345" w:name="_Toc300934993"/>
      <w:bookmarkStart w:id="346" w:name="_Toc296891237"/>
      <w:bookmarkStart w:id="347" w:name="_Toc296347196"/>
      <w:bookmarkStart w:id="348" w:name="_Toc296891025"/>
      <w:bookmarkStart w:id="349" w:name="_Toc296346698"/>
      <w:bookmarkStart w:id="350" w:name="_Toc312677503"/>
      <w:bookmarkStart w:id="351" w:name="_Toc312678029"/>
      <w:bookmarkStart w:id="352" w:name="_Toc304295570"/>
      <w:r>
        <w:rPr>
          <w:rFonts w:hint="eastAsia" w:ascii="宋体" w:hAnsi="宋体" w:eastAsia="宋体" w:cs="宋体"/>
          <w:color w:val="auto"/>
          <w:sz w:val="21"/>
          <w:szCs w:val="21"/>
          <w:highlight w:val="none"/>
        </w:rPr>
        <w:t>0.5 承</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Start w:id="353" w:name="_Toc296944542"/>
      <w:bookmarkStart w:id="354" w:name="_Toc292559408"/>
      <w:bookmarkStart w:id="355" w:name="_Toc292559913"/>
      <w:bookmarkStart w:id="356" w:name="_Toc300934994"/>
      <w:bookmarkStart w:id="357" w:name="_Toc296347202"/>
      <w:bookmarkStart w:id="358" w:name="_Toc296503203"/>
      <w:bookmarkStart w:id="359" w:name="_Toc296891243"/>
      <w:bookmarkStart w:id="360" w:name="_Toc296346704"/>
      <w:bookmarkStart w:id="361" w:name="_Toc297120503"/>
      <w:bookmarkStart w:id="362" w:name="_Toc303539151"/>
      <w:bookmarkStart w:id="363" w:name="_Toc296891031"/>
      <w:bookmarkStart w:id="364" w:name="_Toc297216204"/>
      <w:bookmarkStart w:id="365" w:name="_Toc297123545"/>
      <w:bookmarkStart w:id="366" w:name="_Toc297048389"/>
      <w:r>
        <w:rPr>
          <w:rFonts w:hint="eastAsia" w:ascii="宋体" w:hAnsi="宋体" w:eastAsia="宋体" w:cs="宋体"/>
          <w:color w:val="auto"/>
          <w:sz w:val="21"/>
          <w:szCs w:val="21"/>
          <w:highlight w:val="none"/>
        </w:rPr>
        <w:t>包人的合理化建议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  。</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74F62F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67" w:name="_Toc292559404"/>
      <w:bookmarkStart w:id="368" w:name="_Toc312678033"/>
      <w:bookmarkStart w:id="369" w:name="_Toc296891239"/>
      <w:bookmarkStart w:id="370" w:name="_Toc296346700"/>
      <w:bookmarkStart w:id="371" w:name="_Toc303539154"/>
      <w:bookmarkStart w:id="372" w:name="_Toc296891027"/>
      <w:bookmarkStart w:id="373" w:name="_Toc296347198"/>
      <w:bookmarkStart w:id="374" w:name="_Toc297216207"/>
      <w:bookmarkStart w:id="375" w:name="_Toc300934997"/>
      <w:bookmarkStart w:id="376" w:name="_Toc304295574"/>
      <w:bookmarkStart w:id="377" w:name="_Toc296944538"/>
      <w:bookmarkStart w:id="378" w:name="_Toc296503199"/>
      <w:bookmarkStart w:id="379" w:name="_Toc297048385"/>
      <w:bookmarkStart w:id="380" w:name="_Toc297120499"/>
      <w:bookmarkStart w:id="381" w:name="_Toc292559909"/>
      <w:bookmarkStart w:id="382" w:name="_Toc297123548"/>
      <w:bookmarkStart w:id="383" w:name="_Toc312677507"/>
      <w:r>
        <w:rPr>
          <w:rFonts w:hint="eastAsia" w:ascii="宋体" w:hAnsi="宋体" w:eastAsia="宋体" w:cs="宋体"/>
          <w:color w:val="auto"/>
          <w:sz w:val="21"/>
          <w:szCs w:val="21"/>
          <w:highlight w:val="none"/>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671CCA9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暂</w:t>
      </w:r>
      <w:bookmarkStart w:id="384" w:name="_Toc312677508"/>
      <w:bookmarkStart w:id="385" w:name="_Toc312678034"/>
      <w:bookmarkStart w:id="386" w:name="_Toc318581176"/>
      <w:r>
        <w:rPr>
          <w:rFonts w:hint="eastAsia" w:ascii="宋体" w:hAnsi="宋体" w:eastAsia="宋体" w:cs="宋体"/>
          <w:color w:val="auto"/>
          <w:kern w:val="0"/>
          <w:sz w:val="21"/>
          <w:szCs w:val="21"/>
          <w:highlight w:val="none"/>
        </w:rPr>
        <w:t>估价材料和工程设备的明细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u w:val="single"/>
          <w:lang w:val="en-US" w:eastAsia="zh-CN"/>
        </w:rPr>
        <w:t xml:space="preserve">  /  </w:t>
      </w:r>
      <w:r>
        <w:rPr>
          <w:rFonts w:hint="eastAsia" w:ascii="宋体" w:hAnsi="宋体" w:eastAsia="宋体" w:cs="宋体"/>
          <w:color w:val="auto"/>
          <w:kern w:val="0"/>
          <w:sz w:val="21"/>
          <w:szCs w:val="21"/>
          <w:highlight w:val="none"/>
        </w:rPr>
        <w:t>。</w:t>
      </w:r>
    </w:p>
    <w:bookmarkEnd w:id="384"/>
    <w:bookmarkEnd w:id="385"/>
    <w:bookmarkEnd w:id="386"/>
    <w:p w14:paraId="686FECA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87" w:name="_Toc318581177"/>
      <w:bookmarkStart w:id="388" w:name="_Toc312677509"/>
      <w:bookmarkStart w:id="389" w:name="_Toc312678035"/>
      <w:r>
        <w:rPr>
          <w:rFonts w:hint="eastAsia" w:ascii="宋体" w:hAnsi="宋体" w:eastAsia="宋体" w:cs="宋体"/>
          <w:color w:val="auto"/>
          <w:sz w:val="21"/>
          <w:szCs w:val="21"/>
          <w:highlight w:val="none"/>
        </w:rPr>
        <w:t>0.7.1 依法必须招标的暂估价项目</w:t>
      </w:r>
    </w:p>
    <w:bookmarkEnd w:id="387"/>
    <w:bookmarkEnd w:id="388"/>
    <w:bookmarkEnd w:id="389"/>
    <w:p w14:paraId="571596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对于依法必须招标的暂估价项目的确认和批准采取第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种方式确定。</w:t>
      </w:r>
    </w:p>
    <w:p w14:paraId="52FB8CF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10.7.2 不属于依法必须招标的暂估价项目</w:t>
      </w:r>
    </w:p>
    <w:p w14:paraId="78EE07F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对于不属于依法必须招标的暂估价项目的确认和批准采取第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种方式确定。</w:t>
      </w:r>
    </w:p>
    <w:p w14:paraId="1375FAB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u w:val="single"/>
        </w:rPr>
        <w:t>承包人直接实施的暂估价项目</w:t>
      </w:r>
    </w:p>
    <w:p w14:paraId="051DF9F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承包人直接实施的暂估价项目的约定：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9EAEB7C">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14:paraId="09F6553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合同当事人关于暂列金额使用的约定：</w:t>
      </w:r>
      <w:r>
        <w:rPr>
          <w:rFonts w:hint="eastAsia" w:ascii="宋体" w:hAnsi="宋体" w:eastAsia="宋体" w:cs="宋体"/>
          <w:bCs/>
          <w:color w:val="auto"/>
          <w:sz w:val="21"/>
          <w:szCs w:val="21"/>
          <w:highlight w:val="none"/>
          <w:u w:val="single"/>
        </w:rPr>
        <w:t>暂列金额只能按照发包人的指示使用，并对合同价格进行相应调整</w:t>
      </w:r>
      <w:r>
        <w:rPr>
          <w:rFonts w:hint="eastAsia" w:ascii="宋体" w:hAnsi="宋体" w:eastAsia="宋体" w:cs="宋体"/>
          <w:color w:val="auto"/>
          <w:kern w:val="0"/>
          <w:sz w:val="21"/>
          <w:szCs w:val="21"/>
          <w:highlight w:val="none"/>
          <w:u w:val="single"/>
        </w:rPr>
        <w:t>。</w:t>
      </w:r>
    </w:p>
    <w:p w14:paraId="5BAEF26B">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90" w:name="_Toc351203643"/>
      <w:bookmarkStart w:id="391" w:name="_Toc51164680"/>
      <w:bookmarkStart w:id="392" w:name="_Toc23039"/>
      <w:r>
        <w:rPr>
          <w:rFonts w:hint="eastAsia" w:ascii="宋体" w:hAnsi="宋体" w:eastAsia="宋体" w:cs="宋体"/>
          <w:b/>
          <w:color w:val="auto"/>
          <w:kern w:val="0"/>
          <w:sz w:val="21"/>
          <w:szCs w:val="21"/>
          <w:highlight w:val="none"/>
          <w:lang w:val="en-US" w:eastAsia="zh-CN" w:bidi="ar-SA"/>
        </w:rPr>
        <w:t>11. 价格调整</w:t>
      </w:r>
      <w:bookmarkEnd w:id="390"/>
      <w:bookmarkEnd w:id="391"/>
      <w:bookmarkEnd w:id="392"/>
    </w:p>
    <w:p w14:paraId="03F5EA7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393" w:name="_Toc296891029"/>
      <w:bookmarkStart w:id="394" w:name="_Toc296891241"/>
      <w:bookmarkStart w:id="395" w:name="_Toc300935000"/>
      <w:bookmarkStart w:id="396" w:name="_Toc304295577"/>
      <w:bookmarkStart w:id="397" w:name="_Toc296944540"/>
      <w:bookmarkStart w:id="398" w:name="_Toc292559911"/>
      <w:bookmarkStart w:id="399" w:name="_Toc296503201"/>
      <w:bookmarkStart w:id="400" w:name="_Toc303539157"/>
      <w:bookmarkStart w:id="401" w:name="_Toc296346702"/>
      <w:bookmarkStart w:id="402" w:name="_Toc297123550"/>
      <w:bookmarkStart w:id="403" w:name="_Toc297120501"/>
      <w:bookmarkStart w:id="404" w:name="_Toc292559406"/>
      <w:bookmarkStart w:id="405" w:name="_Toc297216209"/>
      <w:bookmarkStart w:id="406" w:name="_Toc296347200"/>
      <w:bookmarkStart w:id="407" w:name="_Toc297048387"/>
      <w:bookmarkStart w:id="408" w:name="_Toc312678039"/>
      <w:r>
        <w:rPr>
          <w:rFonts w:hint="eastAsia" w:ascii="宋体" w:hAnsi="宋体" w:eastAsia="宋体" w:cs="宋体"/>
          <w:color w:val="auto"/>
          <w:sz w:val="21"/>
          <w:szCs w:val="21"/>
          <w:highlight w:val="none"/>
        </w:rPr>
        <w:t>11.1 市场价格波动引起的调整</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3259A48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市场价格波动是否调整合同价格的约定：</w:t>
      </w:r>
      <w:r>
        <w:rPr>
          <w:rFonts w:ascii="宋体" w:hAnsi="宋体" w:eastAsia="宋体" w:cs="宋体"/>
          <w:b w:val="0"/>
          <w:bCs w:val="0"/>
          <w:color w:val="000000"/>
          <w:sz w:val="20"/>
          <w:szCs w:val="20"/>
          <w:u w:val="single"/>
        </w:rPr>
        <w:t>合同约定的市场风险范围内综合单价不调整。</w:t>
      </w:r>
    </w:p>
    <w:p w14:paraId="4AA55BD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种方式对合同价格进行调整：</w:t>
      </w:r>
    </w:p>
    <w:p w14:paraId="520DC3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第1种方式：</w:t>
      </w:r>
      <w:r>
        <w:rPr>
          <w:rFonts w:hint="eastAsia" w:ascii="宋体" w:hAnsi="宋体" w:eastAsia="宋体" w:cs="宋体"/>
          <w:color w:val="auto"/>
          <w:sz w:val="21"/>
          <w:szCs w:val="21"/>
          <w:highlight w:val="none"/>
          <w:u w:val="single"/>
        </w:rPr>
        <w:t>采用价格指数进行价格调整。</w:t>
      </w:r>
      <w:r>
        <w:rPr>
          <w:rFonts w:hint="eastAsia" w:ascii="宋体" w:hAnsi="宋体" w:eastAsia="宋体" w:cs="宋体"/>
          <w:color w:val="auto"/>
          <w:sz w:val="21"/>
          <w:szCs w:val="21"/>
          <w:highlight w:val="none"/>
        </w:rPr>
        <w:t xml:space="preserve">  </w:t>
      </w:r>
    </w:p>
    <w:p w14:paraId="1D9BF2B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第2种方式：</w:t>
      </w:r>
      <w:r>
        <w:rPr>
          <w:rFonts w:hint="eastAsia" w:ascii="宋体" w:hAnsi="宋体" w:eastAsia="宋体" w:cs="宋体"/>
          <w:color w:val="auto"/>
          <w:sz w:val="21"/>
          <w:szCs w:val="21"/>
          <w:highlight w:val="none"/>
          <w:u w:val="single"/>
        </w:rPr>
        <w:t>采用造价信息进行价格调整。</w:t>
      </w:r>
    </w:p>
    <w:p w14:paraId="5A4CD41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（2）关于基准价格的约定</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bookmarkEnd w:id="312"/>
    <w:bookmarkEnd w:id="313"/>
    <w:bookmarkEnd w:id="314"/>
    <w:bookmarkEnd w:id="315"/>
    <w:bookmarkEnd w:id="316"/>
    <w:bookmarkEnd w:id="317"/>
    <w:p w14:paraId="3453FE7D">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09" w:name="_Toc296944544"/>
      <w:bookmarkStart w:id="410" w:name="_Toc292559915"/>
      <w:bookmarkStart w:id="411" w:name="_Toc292559410"/>
      <w:bookmarkStart w:id="412" w:name="_Toc296891033"/>
      <w:bookmarkStart w:id="413" w:name="_Toc296346706"/>
      <w:bookmarkStart w:id="414" w:name="_Toc297048391"/>
      <w:bookmarkStart w:id="415" w:name="_Toc296347204"/>
      <w:bookmarkStart w:id="416" w:name="_Toc296503205"/>
      <w:bookmarkStart w:id="417" w:name="_Toc297120505"/>
      <w:bookmarkStart w:id="418" w:name="_Toc296891245"/>
      <w:bookmarkStart w:id="419" w:name="_Toc351203644"/>
      <w:bookmarkStart w:id="420" w:name="_Toc27012"/>
      <w:bookmarkStart w:id="421" w:name="_Toc51164681"/>
      <w:bookmarkStart w:id="422" w:name="_Toc303539159"/>
      <w:bookmarkStart w:id="423" w:name="_Toc312678040"/>
      <w:bookmarkStart w:id="424" w:name="_Toc297216211"/>
      <w:bookmarkStart w:id="425" w:name="_Toc304295579"/>
      <w:bookmarkStart w:id="426" w:name="_Toc297123552"/>
      <w:bookmarkStart w:id="427" w:name="_Toc300935002"/>
      <w:r>
        <w:rPr>
          <w:rFonts w:hint="eastAsia" w:ascii="宋体" w:hAnsi="宋体" w:eastAsia="宋体" w:cs="宋体"/>
          <w:b/>
          <w:color w:val="auto"/>
          <w:kern w:val="0"/>
          <w:sz w:val="21"/>
          <w:szCs w:val="21"/>
          <w:highlight w:val="none"/>
          <w:lang w:val="en-US" w:eastAsia="zh-CN" w:bidi="ar-SA"/>
        </w:rPr>
        <w:t xml:space="preserve">12. </w:t>
      </w:r>
      <w:bookmarkEnd w:id="409"/>
      <w:bookmarkEnd w:id="410"/>
      <w:bookmarkEnd w:id="411"/>
      <w:bookmarkEnd w:id="412"/>
      <w:bookmarkEnd w:id="413"/>
      <w:bookmarkEnd w:id="414"/>
      <w:bookmarkEnd w:id="415"/>
      <w:bookmarkEnd w:id="416"/>
      <w:bookmarkEnd w:id="417"/>
      <w:bookmarkEnd w:id="418"/>
      <w:r>
        <w:rPr>
          <w:rFonts w:hint="eastAsia" w:ascii="宋体" w:hAnsi="宋体" w:eastAsia="宋体" w:cs="宋体"/>
          <w:b/>
          <w:color w:val="auto"/>
          <w:kern w:val="0"/>
          <w:sz w:val="21"/>
          <w:szCs w:val="21"/>
          <w:highlight w:val="none"/>
          <w:lang w:val="en-US" w:eastAsia="zh-CN" w:bidi="ar-SA"/>
        </w:rPr>
        <w:t>合同价格、计量与支付</w:t>
      </w:r>
      <w:bookmarkEnd w:id="419"/>
      <w:bookmarkEnd w:id="420"/>
      <w:bookmarkEnd w:id="421"/>
    </w:p>
    <w:bookmarkEnd w:id="422"/>
    <w:bookmarkEnd w:id="423"/>
    <w:bookmarkEnd w:id="424"/>
    <w:bookmarkEnd w:id="425"/>
    <w:bookmarkEnd w:id="426"/>
    <w:bookmarkEnd w:id="427"/>
    <w:p w14:paraId="66C6AE2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428" w:name="_Toc267251461"/>
      <w:bookmarkStart w:id="429" w:name="_Toc292559916"/>
      <w:bookmarkStart w:id="430" w:name="_Toc292559411"/>
      <w:bookmarkStart w:id="431" w:name="_Toc296944545"/>
      <w:bookmarkStart w:id="432" w:name="_Toc297048392"/>
      <w:bookmarkStart w:id="433" w:name="_Toc296891246"/>
      <w:bookmarkStart w:id="434" w:name="_Toc296347205"/>
      <w:bookmarkStart w:id="435" w:name="_Toc297120506"/>
      <w:bookmarkStart w:id="436" w:name="_Toc296891034"/>
      <w:bookmarkStart w:id="437" w:name="_Toc296503206"/>
      <w:bookmarkStart w:id="438" w:name="_Toc296346707"/>
      <w:bookmarkStart w:id="439" w:name="_Toc300935003"/>
      <w:bookmarkStart w:id="440" w:name="_Toc312678041"/>
      <w:bookmarkStart w:id="441" w:name="_Toc303539160"/>
      <w:bookmarkStart w:id="442" w:name="_Toc297123553"/>
      <w:bookmarkStart w:id="443" w:name="_Toc297216212"/>
      <w:bookmarkStart w:id="444" w:name="_Toc304295580"/>
      <w:r>
        <w:rPr>
          <w:rFonts w:hint="eastAsia" w:ascii="宋体" w:hAnsi="宋体" w:eastAsia="宋体" w:cs="宋体"/>
          <w:color w:val="auto"/>
          <w:sz w:val="21"/>
          <w:szCs w:val="21"/>
          <w:highlight w:val="none"/>
        </w:rPr>
        <w:t xml:space="preserve">12.1 </w:t>
      </w:r>
      <w:r>
        <w:rPr>
          <w:rFonts w:hint="eastAsia" w:ascii="宋体" w:hAnsi="宋体" w:eastAsia="宋体" w:cs="宋体"/>
          <w:b/>
          <w:bCs/>
          <w:color w:val="auto"/>
          <w:sz w:val="21"/>
          <w:szCs w:val="21"/>
          <w:highlight w:val="none"/>
        </w:rPr>
        <w:t>合</w:t>
      </w:r>
      <w:bookmarkEnd w:id="428"/>
      <w:bookmarkEnd w:id="429"/>
      <w:bookmarkEnd w:id="430"/>
      <w:r>
        <w:rPr>
          <w:rFonts w:hint="eastAsia" w:ascii="宋体" w:hAnsi="宋体" w:eastAsia="宋体" w:cs="宋体"/>
          <w:b/>
          <w:bCs/>
          <w:color w:val="auto"/>
          <w:sz w:val="21"/>
          <w:szCs w:val="21"/>
          <w:highlight w:val="none"/>
        </w:rPr>
        <w:t>同价</w:t>
      </w:r>
      <w:bookmarkEnd w:id="431"/>
      <w:bookmarkEnd w:id="432"/>
      <w:bookmarkEnd w:id="433"/>
      <w:bookmarkEnd w:id="434"/>
      <w:bookmarkEnd w:id="435"/>
      <w:bookmarkEnd w:id="436"/>
      <w:bookmarkEnd w:id="437"/>
      <w:bookmarkEnd w:id="438"/>
      <w:r>
        <w:rPr>
          <w:rFonts w:hint="eastAsia" w:ascii="宋体" w:hAnsi="宋体" w:eastAsia="宋体" w:cs="宋体"/>
          <w:b/>
          <w:bCs/>
          <w:color w:val="auto"/>
          <w:sz w:val="21"/>
          <w:szCs w:val="21"/>
          <w:highlight w:val="none"/>
        </w:rPr>
        <w:t>格形式</w:t>
      </w:r>
    </w:p>
    <w:bookmarkEnd w:id="439"/>
    <w:bookmarkEnd w:id="440"/>
    <w:bookmarkEnd w:id="441"/>
    <w:bookmarkEnd w:id="442"/>
    <w:bookmarkEnd w:id="443"/>
    <w:bookmarkEnd w:id="444"/>
    <w:p w14:paraId="2D5F5F0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14:paraId="244C21C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14:paraId="01BB04DA">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Cs/>
          <w:color w:val="auto"/>
          <w:sz w:val="21"/>
          <w:szCs w:val="21"/>
          <w:highlight w:val="none"/>
          <w:u w:val="single"/>
        </w:rPr>
        <w:t>1.承包人的</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施工方案、现场施工条件</w:t>
      </w:r>
      <w:r>
        <w:rPr>
          <w:rFonts w:hint="eastAsia" w:ascii="宋体" w:hAnsi="宋体" w:eastAsia="宋体" w:cs="宋体"/>
          <w:bCs/>
          <w:color w:val="auto"/>
          <w:sz w:val="21"/>
          <w:szCs w:val="21"/>
          <w:highlight w:val="none"/>
          <w:u w:val="single"/>
          <w:lang w:val="en-US" w:eastAsia="zh-CN"/>
        </w:rPr>
        <w:t>；</w:t>
      </w:r>
    </w:p>
    <w:p w14:paraId="77DB11DB">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2.工程量变化产生的前期费用</w:t>
      </w:r>
      <w:r>
        <w:rPr>
          <w:rFonts w:hint="eastAsia" w:ascii="宋体" w:hAnsi="宋体" w:eastAsia="宋体" w:cs="宋体"/>
          <w:bCs/>
          <w:color w:val="auto"/>
          <w:sz w:val="21"/>
          <w:szCs w:val="21"/>
          <w:highlight w:val="none"/>
          <w:u w:val="single"/>
          <w:lang w:eastAsia="zh-CN"/>
        </w:rPr>
        <w:t>；</w:t>
      </w:r>
    </w:p>
    <w:p w14:paraId="57AAE7AD">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3.工程材料（设备）、人工市场价格的波动</w:t>
      </w:r>
      <w:r>
        <w:rPr>
          <w:rFonts w:hint="eastAsia" w:ascii="宋体" w:hAnsi="宋体" w:eastAsia="宋体" w:cs="宋体"/>
          <w:bCs/>
          <w:color w:val="auto"/>
          <w:sz w:val="21"/>
          <w:szCs w:val="21"/>
          <w:highlight w:val="none"/>
          <w:u w:val="single"/>
          <w:lang w:eastAsia="zh-CN"/>
        </w:rPr>
        <w:t>；</w:t>
      </w:r>
    </w:p>
    <w:p w14:paraId="0EB08384">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Cs/>
          <w:color w:val="auto"/>
          <w:sz w:val="21"/>
          <w:szCs w:val="21"/>
          <w:highlight w:val="none"/>
          <w:u w:val="single"/>
          <w:lang w:val="en-US" w:eastAsia="zh-CN"/>
        </w:rPr>
        <w:t>4.施工现场如发生二次或多次搬运费用均包含在合同价中，结算时不增加该项费用；</w:t>
      </w:r>
    </w:p>
    <w:p w14:paraId="582147AB">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Cs/>
          <w:color w:val="auto"/>
          <w:sz w:val="21"/>
          <w:szCs w:val="21"/>
          <w:highlight w:val="none"/>
          <w:u w:val="single"/>
          <w:lang w:val="en-US" w:eastAsia="zh-CN"/>
        </w:rPr>
        <w:t xml:space="preserve">5.分部分项工程的综合单价和其中以项为单位计价的总额报价的综合单价不随工程量的增减而调整； </w:t>
      </w:r>
    </w:p>
    <w:p w14:paraId="6BFCE0FB">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lang w:val="en-US" w:eastAsia="zh-CN"/>
        </w:rPr>
        <w:t>6.市场风险（包括采用新的验收标准，机械等，风险范围以外约定的除外）。</w:t>
      </w:r>
    </w:p>
    <w:p w14:paraId="486A5726">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Cs/>
          <w:color w:val="auto"/>
          <w:sz w:val="21"/>
          <w:szCs w:val="21"/>
          <w:highlight w:val="none"/>
          <w:u w:val="single"/>
          <w:lang w:val="en-US" w:eastAsia="zh-CN"/>
        </w:rPr>
        <w:t>7.政策性调整（税率除外）</w:t>
      </w:r>
    </w:p>
    <w:p w14:paraId="5E0E31F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u w:val="none"/>
          <w:lang w:val="en-US" w:eastAsia="zh-CN"/>
        </w:rPr>
        <w:t>风险费用的计算方法：</w:t>
      </w:r>
      <w:r>
        <w:rPr>
          <w:rFonts w:hint="eastAsia" w:ascii="宋体" w:hAnsi="宋体" w:eastAsia="宋体" w:cs="宋体"/>
          <w:bCs/>
          <w:color w:val="auto"/>
          <w:sz w:val="21"/>
          <w:szCs w:val="21"/>
          <w:highlight w:val="none"/>
          <w:u w:val="single"/>
        </w:rPr>
        <w:t>综合考虑在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综合单价内，在合同约定风险范围内不作调整</w:t>
      </w:r>
      <w:r>
        <w:rPr>
          <w:rFonts w:hint="eastAsia" w:ascii="宋体" w:hAnsi="宋体" w:eastAsia="宋体" w:cs="宋体"/>
          <w:color w:val="auto"/>
          <w:sz w:val="21"/>
          <w:szCs w:val="21"/>
          <w:highlight w:val="none"/>
          <w:u w:val="single"/>
        </w:rPr>
        <w:t>。</w:t>
      </w:r>
    </w:p>
    <w:p w14:paraId="541D0A8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p>
    <w:p w14:paraId="479568C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rPr>
        <w:t>风险范围以外的内容：</w:t>
      </w:r>
    </w:p>
    <w:p w14:paraId="047DBEA0">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lang w:val="en-US" w:eastAsia="zh-CN"/>
        </w:rPr>
        <w:t>1.</w:t>
      </w:r>
      <w:r>
        <w:rPr>
          <w:rFonts w:hint="eastAsia" w:ascii="宋体" w:hAnsi="宋体" w:eastAsia="宋体" w:cs="宋体"/>
          <w:bCs/>
          <w:color w:val="auto"/>
          <w:sz w:val="21"/>
          <w:szCs w:val="21"/>
          <w:highlight w:val="none"/>
          <w:u w:val="single"/>
        </w:rPr>
        <w:t>设计变更引起的工程量增减；</w:t>
      </w:r>
    </w:p>
    <w:p w14:paraId="28D6E147">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2.发包人要求的承包范围以外的附加工程量；</w:t>
      </w:r>
    </w:p>
    <w:p w14:paraId="675FC19F">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3.暂估价材料、暂估价项目；</w:t>
      </w:r>
    </w:p>
    <w:p w14:paraId="13EC90F8">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4.发包人确认的其它项目；</w:t>
      </w:r>
    </w:p>
    <w:p w14:paraId="3420B990">
      <w:pPr>
        <w:pageBreakBefore w:val="0"/>
        <w:widowControl w:val="0"/>
        <w:numPr>
          <w:ilvl w:val="0"/>
          <w:numId w:val="0"/>
        </w:numPr>
        <w:kinsoku/>
        <w:wordWrap/>
        <w:overflowPunct/>
        <w:topLinePunct w:val="0"/>
        <w:bidi w:val="0"/>
        <w:snapToGrid/>
        <w:spacing w:line="400" w:lineRule="exact"/>
        <w:ind w:left="420" w:leftChars="200" w:firstLine="210" w:firstLineChars="1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5.政策性调整</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lang w:val="en-US" w:eastAsia="zh-CN"/>
        </w:rPr>
        <w:t>除人工费用可按政策调整外，其余不调整；人工按政策调整后按中标优惠率同步下浮</w:t>
      </w:r>
      <w:r>
        <w:rPr>
          <w:rFonts w:hint="eastAsia" w:ascii="宋体" w:hAnsi="宋体" w:eastAsia="宋体" w:cs="宋体"/>
          <w:bCs/>
          <w:color w:val="auto"/>
          <w:sz w:val="21"/>
          <w:szCs w:val="21"/>
          <w:highlight w:val="none"/>
          <w:u w:val="single"/>
        </w:rPr>
        <w:t>；</w:t>
      </w:r>
    </w:p>
    <w:p w14:paraId="74EA8927">
      <w:pPr>
        <w:pageBreakBefore w:val="0"/>
        <w:widowControl w:val="0"/>
        <w:numPr>
          <w:ilvl w:val="0"/>
          <w:numId w:val="0"/>
        </w:numPr>
        <w:kinsoku/>
        <w:wordWrap/>
        <w:overflowPunct/>
        <w:topLinePunct w:val="0"/>
        <w:bidi w:val="0"/>
        <w:snapToGrid/>
        <w:spacing w:line="400" w:lineRule="exact"/>
        <w:ind w:left="420" w:leftChars="200" w:firstLine="210" w:firstLineChars="1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6.发包人提出对乙供部分材料进行更改，引起的价差。</w:t>
      </w:r>
    </w:p>
    <w:p w14:paraId="3D7E5F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风险范围以外合同价格的调整方法：</w:t>
      </w:r>
    </w:p>
    <w:p w14:paraId="30867945">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lang w:val="en-US" w:eastAsia="zh-CN"/>
        </w:rPr>
        <w:t>1、</w:t>
      </w:r>
      <w:r>
        <w:rPr>
          <w:rFonts w:hint="eastAsia" w:ascii="宋体" w:hAnsi="宋体" w:eastAsia="宋体" w:cs="宋体"/>
          <w:bCs/>
          <w:color w:val="auto"/>
          <w:sz w:val="21"/>
          <w:szCs w:val="21"/>
          <w:highlight w:val="none"/>
          <w:u w:val="single"/>
        </w:rPr>
        <w:t>工程量应由承包人按在履行合同义务过程中实际完成的工程量（包括设计变更、发包人指令等经审批通过的工程量增减）计算后向发包人提出，经审计</w:t>
      </w:r>
      <w:r>
        <w:rPr>
          <w:rFonts w:hint="eastAsia" w:ascii="宋体" w:hAnsi="宋体" w:eastAsia="宋体" w:cs="宋体"/>
          <w:bCs/>
          <w:color w:val="auto"/>
          <w:sz w:val="21"/>
          <w:szCs w:val="21"/>
          <w:highlight w:val="none"/>
          <w:u w:val="single"/>
          <w:lang w:val="en-US" w:eastAsia="zh-CN"/>
        </w:rPr>
        <w:t>部门</w:t>
      </w:r>
      <w:r>
        <w:rPr>
          <w:rFonts w:hint="eastAsia" w:ascii="宋体" w:hAnsi="宋体" w:eastAsia="宋体" w:cs="宋体"/>
          <w:bCs/>
          <w:color w:val="auto"/>
          <w:sz w:val="21"/>
          <w:szCs w:val="21"/>
          <w:highlight w:val="none"/>
          <w:u w:val="single"/>
        </w:rPr>
        <w:t>审计后按审定数量结算。</w:t>
      </w:r>
    </w:p>
    <w:p w14:paraId="01462429">
      <w:pPr>
        <w:pageBreakBefore w:val="0"/>
        <w:widowControl w:val="0"/>
        <w:numPr>
          <w:ilvl w:val="0"/>
          <w:numId w:val="0"/>
        </w:numPr>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lang w:val="en-US" w:eastAsia="zh-CN"/>
        </w:rPr>
        <w:t>2、工程量清单缺陷以及工程变更造成新增的分部分项工程项目清单综合单价的结算原则为：</w:t>
      </w:r>
    </w:p>
    <w:p w14:paraId="33C63031">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a.投标书中已有适用于变更工程的综合单价，按投标书中已有的综合单价结算；</w:t>
      </w:r>
    </w:p>
    <w:p w14:paraId="194F54C2">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b.投标书中有类似于变更工程的综合单价，按投标书中已有的类似的综合单价作相应调整后结算；</w:t>
      </w:r>
    </w:p>
    <w:p w14:paraId="447FE505">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c.投标书中无类似综合单价，结算原则为：有消耗量（江苏省2026版）可套用的项目：</w:t>
      </w:r>
    </w:p>
    <w:p w14:paraId="4662955C">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①分部分项工程项目清单综合单价计算：按现行《建设工程工程量清单计价标准》（GB/T50500-2024）及其配套的各专业工程量计算标准、2026版的《江苏省建筑与装饰工程消耗量》、《江苏省通用安装工程消耗量》、《江苏省市政工程消耗量》、《江苏省建设工程费用参考》及《江苏建设工程施工机具台班费用参考表》等现行相关计价文件计算。</w:t>
      </w:r>
    </w:p>
    <w:p w14:paraId="0676222B">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②管理费、利润根据《江苏省建设工程费用参考》文件规定的中值计取，不计取赶工措施费。</w:t>
      </w:r>
    </w:p>
    <w:p w14:paraId="0780D096">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③材料价格按施工期间常州市工程造价管理机构发布的除税信息价（如信息价缺价的，可借用江苏省2014年相应的计价定额中的定额价或经发包人、跟踪审计认可的市场价，按市场价确定的材料价格不参与总价下浮）计算。</w:t>
      </w:r>
    </w:p>
    <w:p w14:paraId="2FB22E82">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 xml:space="preserve">④人工指数按施工期间江苏省住房和城乡建设厅发布的建设工程人工价格指数执行。 </w:t>
      </w:r>
    </w:p>
    <w:p w14:paraId="097E93D0">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⑤按照上述规定计算的分部分项工程费按中标优惠率同步下浮。</w:t>
      </w:r>
    </w:p>
    <w:p w14:paraId="566D0DC0">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无消耗量（江苏省2026版）可套用的项目：由学校（至少两人：总务主任或总务副主任、分管副校长或校长）、监理、及乙方共同询价、协商，报校长审批确定，确定后的价格不让利。</w:t>
      </w:r>
    </w:p>
    <w:p w14:paraId="4374260C">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3.工程量清单缺陷以及工程变更引起的措施费的结算原则为：</w:t>
      </w:r>
    </w:p>
    <w:p w14:paraId="545AD903">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①工程变更未引起措施项目变化（增加或减少）的，不计取相应措施增加或减少的费用。</w:t>
      </w:r>
    </w:p>
    <w:p w14:paraId="0C54B0FB">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②由于工程变更引起措施项目变化（增加或减少）的措施费</w:t>
      </w:r>
    </w:p>
    <w:p w14:paraId="378BF66A">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1）江苏省建设工程费用组成规则中的通用措施项目费及建筑工人实名制发生的费用不予调整（但安全生产费按相关规定另行计算）；</w:t>
      </w:r>
    </w:p>
    <w:p w14:paraId="68F53816">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2）除通用措施项目外的措施项目费的计算同分部分项工程项目费的计算方法（包括按中标优惠率同步下浮）。</w:t>
      </w:r>
    </w:p>
    <w:p w14:paraId="069C5E08">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③工程量清单中出现错漏项、工程量计算偏差、项目特征不符等工程量清单缺陷的措施费除安全生产费及列入分部分项工程项目清单的措施（如模板）外，合同清单的措施项目清单及合同工期均不予调整”。</w:t>
      </w:r>
    </w:p>
    <w:p w14:paraId="17E663D1">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4.其它项目费用应按下列规定计算：</w:t>
      </w:r>
    </w:p>
    <w:p w14:paraId="6FDA6880">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4.1 暂估价中的材料单价应按学校（至少两人：总务主任或总务副主任、分管副校长或校长）、监理、及乙方最终确认价在综合单价中调整；</w:t>
      </w:r>
    </w:p>
    <w:p w14:paraId="328317C4">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4.2 索赔费用应依据学校（至少两人：总务主任或总务副主任、分管副校长或校长）、监理、及乙方确认的索赔事项和金额计算；</w:t>
      </w:r>
    </w:p>
    <w:p w14:paraId="2FC2002F">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4.3 现场签证费用应依据学校（至少两人：总务主任或总务副主任、分管副校长或校长）、监理、及乙方签证资料确认的金额计算；</w:t>
      </w:r>
    </w:p>
    <w:p w14:paraId="4FFF65F3">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 xml:space="preserve">5. 税金（增值税）按国家或省级、行业建设主管部门的规定计算。 </w:t>
      </w:r>
    </w:p>
    <w:p w14:paraId="412792D2">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6.安全生产措施费按《江苏省建设工程费用参考》（2026）中的费率标准执行且本项目安全生产标准化考评等级在合格以上时，结算费用不另行增加。</w:t>
      </w:r>
    </w:p>
    <w:p w14:paraId="2974C1D3">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7.工程施工过程中所有需要在合同价外另行增加的内容，乙方必须无条件服从甲方安排，不得以任何理由拖延施工；所涉及费用根据上述相关条款在竣工结算时由审计确认。</w:t>
      </w:r>
    </w:p>
    <w:p w14:paraId="5C38AEFB">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8.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3C8E8F0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9.其它工程价款调整方法：</w:t>
      </w:r>
    </w:p>
    <w:p w14:paraId="4D8E8D6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14:paraId="753B501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施工过程中所有需要在合同价外另行增加费用的内容或变更项目内容、变更项目范围的均必须由各学校（至少两人：总务主任或总务副主任、分管副校长或校长签字）事先书面签字后报教育局（建装中心、发展规划与财务科、分管局长）审批同意，否则一概不予结算。</w:t>
      </w:r>
    </w:p>
    <w:p w14:paraId="6935497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有涉及工程结算的签证单上必须由学校（至少两人：总务主任或总务副主任、分管副校长或校长）、乙方（项目经理）、现场监理的签字和盖章，方可作为竣工结算的依据，签证单上必须明确签证的原因、位置、尺寸、数量、材料、人工、机械台班和签证时间，如有必要，还需附有相应的综合单价分析。</w:t>
      </w:r>
    </w:p>
    <w:p w14:paraId="2D1AB3B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（4）本工程场地按现状交付，场地平整、临时围墙、施工场地等均由承包人实施，该费用由承包人承担，结算时不另行增加此项费用。</w:t>
      </w:r>
    </w:p>
    <w:p w14:paraId="3F9CDE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（5）措施项目费中以项为单位的报价均为包干价，结算时不再调整。</w:t>
      </w:r>
    </w:p>
    <w:p w14:paraId="0F7C7F5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注：上述凡涉及中标优惠率同步下浮的下浮率=【1-（投标总价-（材料暂估价+暂列金额）*（1+税率）-专业工程暂估价）/（最高投标限价-（材料暂估价+暂列金额）* （1+税率）-专业工程暂估价）】*100%}。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2、总价合同。</w:t>
      </w:r>
    </w:p>
    <w:p w14:paraId="5D7E650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总价包含的风险范围：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14:paraId="61F62A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p>
    <w:p w14:paraId="6F2BBA0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4E787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100FCD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445" w:name="_Toc297123554"/>
      <w:bookmarkStart w:id="446" w:name="_Toc303539161"/>
      <w:bookmarkStart w:id="447" w:name="_Toc312678042"/>
      <w:bookmarkStart w:id="448" w:name="_Toc300935004"/>
      <w:bookmarkStart w:id="449" w:name="_Toc304295581"/>
      <w:bookmarkStart w:id="450" w:name="_Toc297216213"/>
      <w:bookmarkStart w:id="451" w:name="_Toc296891035"/>
      <w:bookmarkStart w:id="452" w:name="_Toc296891247"/>
      <w:bookmarkStart w:id="453" w:name="_Toc292559412"/>
      <w:bookmarkStart w:id="454" w:name="_Toc296503207"/>
      <w:bookmarkStart w:id="455" w:name="_Toc292559917"/>
      <w:bookmarkStart w:id="456" w:name="_Toc296944546"/>
      <w:bookmarkStart w:id="457" w:name="_Toc296347206"/>
      <w:bookmarkStart w:id="458" w:name="_Toc297120507"/>
      <w:bookmarkStart w:id="459" w:name="_Toc297048393"/>
      <w:bookmarkStart w:id="460" w:name="_Toc296346708"/>
      <w:r>
        <w:rPr>
          <w:rFonts w:hint="eastAsia" w:ascii="宋体" w:hAnsi="宋体" w:eastAsia="宋体" w:cs="宋体"/>
          <w:color w:val="auto"/>
          <w:sz w:val="21"/>
          <w:szCs w:val="21"/>
          <w:highlight w:val="none"/>
        </w:rPr>
        <w:t>12.2 预付款</w:t>
      </w:r>
    </w:p>
    <w:bookmarkEnd w:id="445"/>
    <w:bookmarkEnd w:id="446"/>
    <w:bookmarkEnd w:id="447"/>
    <w:bookmarkEnd w:id="448"/>
    <w:bookmarkEnd w:id="449"/>
    <w:bookmarkEnd w:id="450"/>
    <w:p w14:paraId="00A6CE3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53D20C4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预付款支付比例或金额：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8069A7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预付款支付期限：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CAC770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预付款扣回的方式：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0D89F98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12.2.2 预付款担保</w:t>
      </w:r>
    </w:p>
    <w:p w14:paraId="4E990B3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承包人提交预付款担保的期限：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F1F1F6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预付款担保的形式为：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bookmarkEnd w:id="451"/>
    <w:bookmarkEnd w:id="452"/>
    <w:bookmarkEnd w:id="453"/>
    <w:bookmarkEnd w:id="454"/>
    <w:bookmarkEnd w:id="455"/>
    <w:bookmarkEnd w:id="456"/>
    <w:bookmarkEnd w:id="457"/>
    <w:bookmarkEnd w:id="458"/>
    <w:bookmarkEnd w:id="459"/>
    <w:bookmarkEnd w:id="460"/>
    <w:p w14:paraId="057E6B3C">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计量</w:t>
      </w:r>
    </w:p>
    <w:p w14:paraId="5323FC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计量原则</w:t>
      </w:r>
    </w:p>
    <w:p w14:paraId="31DFFC9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工程量计算规则：</w:t>
      </w:r>
      <w:r>
        <w:rPr>
          <w:rFonts w:hint="eastAsia" w:ascii="宋体" w:hAnsi="宋体" w:eastAsia="宋体" w:cs="宋体"/>
          <w:bCs/>
          <w:color w:val="auto"/>
          <w:sz w:val="21"/>
          <w:szCs w:val="21"/>
          <w:highlight w:val="none"/>
          <w:u w:val="single"/>
        </w:rPr>
        <w:t>执行国家标准《建设工程工程量清单计价规范》(GB50500-20</w:t>
      </w:r>
      <w:r>
        <w:rPr>
          <w:rFonts w:hint="eastAsia" w:ascii="宋体" w:hAnsi="宋体" w:eastAsia="宋体" w:cs="宋体"/>
          <w:bCs/>
          <w:color w:val="auto"/>
          <w:sz w:val="21"/>
          <w:szCs w:val="21"/>
          <w:highlight w:val="none"/>
          <w:u w:val="single"/>
          <w:lang w:val="en-US" w:eastAsia="zh-CN"/>
        </w:rPr>
        <w:t>24</w:t>
      </w:r>
      <w:r>
        <w:rPr>
          <w:rFonts w:hint="eastAsia" w:ascii="宋体" w:hAnsi="宋体" w:eastAsia="宋体" w:cs="宋体"/>
          <w:bCs/>
          <w:color w:val="auto"/>
          <w:sz w:val="21"/>
          <w:szCs w:val="21"/>
          <w:highlight w:val="none"/>
          <w:u w:val="single"/>
        </w:rPr>
        <w:t>)或其适用的修订版本，承包人实际完成的工程量按约定的工程量计算规则和有合同约束力的图纸进行计量</w:t>
      </w:r>
      <w:r>
        <w:rPr>
          <w:rFonts w:hint="eastAsia" w:ascii="宋体" w:hAnsi="宋体" w:eastAsia="宋体" w:cs="宋体"/>
          <w:color w:val="auto"/>
          <w:sz w:val="21"/>
          <w:szCs w:val="21"/>
          <w:highlight w:val="none"/>
          <w:u w:val="single"/>
        </w:rPr>
        <w:t>。</w:t>
      </w:r>
    </w:p>
    <w:p w14:paraId="5B79532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计量周期</w:t>
      </w:r>
    </w:p>
    <w:p w14:paraId="3BF6337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关于计量周期的约定：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A10BCF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12.3.3 单价合同的计量</w:t>
      </w:r>
    </w:p>
    <w:p w14:paraId="561CC06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关于单价合同计量的约定：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rPr>
        <w:t>。</w:t>
      </w:r>
    </w:p>
    <w:p w14:paraId="5F156AF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12.3.4 总价合同的计量</w:t>
      </w:r>
    </w:p>
    <w:p w14:paraId="6A32C99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关于总价合同计量的约定：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E39D95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12.3.5 总价合同采用支付分解表计量支付的，是否适用第</w:t>
      </w:r>
      <w:r>
        <w:rPr>
          <w:rFonts w:hint="eastAsia" w:ascii="宋体" w:hAnsi="宋体" w:eastAsia="宋体" w:cs="宋体"/>
          <w:color w:val="auto"/>
          <w:kern w:val="0"/>
          <w:sz w:val="21"/>
          <w:szCs w:val="21"/>
          <w:highlight w:val="none"/>
        </w:rPr>
        <w:t xml:space="preserve">12.3.4 </w:t>
      </w:r>
      <w:r>
        <w:rPr>
          <w:rFonts w:hint="eastAsia" w:ascii="宋体" w:hAnsi="宋体" w:eastAsia="宋体" w:cs="宋体"/>
          <w:color w:val="auto"/>
          <w:sz w:val="21"/>
          <w:szCs w:val="21"/>
          <w:highlight w:val="none"/>
        </w:rPr>
        <w:t>项</w:t>
      </w:r>
      <w:r>
        <w:rPr>
          <w:rFonts w:hint="eastAsia" w:ascii="宋体" w:hAnsi="宋体" w:eastAsia="宋体" w:cs="宋体"/>
          <w:color w:val="auto"/>
          <w:kern w:val="0"/>
          <w:sz w:val="21"/>
          <w:szCs w:val="21"/>
          <w:highlight w:val="none"/>
        </w:rPr>
        <w:t>〔总价合同的计量〕</w:t>
      </w:r>
      <w:r>
        <w:rPr>
          <w:rFonts w:hint="eastAsia" w:ascii="宋体" w:hAnsi="宋体" w:eastAsia="宋体" w:cs="宋体"/>
          <w:color w:val="auto"/>
          <w:sz w:val="21"/>
          <w:szCs w:val="21"/>
          <w:highlight w:val="none"/>
        </w:rPr>
        <w:t>约定进行计量：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48D856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12.3.6 其他价格形式合同的计量</w:t>
      </w:r>
    </w:p>
    <w:p w14:paraId="7C7EE1D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其他价格形式的计量方式和程序：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5C179A9">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 工程进度款支付</w:t>
      </w:r>
    </w:p>
    <w:p w14:paraId="45136E6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bCs/>
          <w:color w:val="auto"/>
          <w:sz w:val="21"/>
          <w:szCs w:val="21"/>
          <w:highlight w:val="none"/>
        </w:rPr>
      </w:pPr>
      <w:bookmarkStart w:id="461" w:name="_Toc296891039"/>
      <w:bookmarkStart w:id="462" w:name="_Toc297048397"/>
      <w:bookmarkStart w:id="463" w:name="_Toc296944550"/>
      <w:bookmarkStart w:id="464" w:name="_Toc292559416"/>
      <w:bookmarkStart w:id="465" w:name="_Toc296347210"/>
      <w:bookmarkStart w:id="466" w:name="_Toc297123556"/>
      <w:bookmarkStart w:id="467" w:name="_Toc296891251"/>
      <w:bookmarkStart w:id="468" w:name="_Toc297120511"/>
      <w:bookmarkStart w:id="469" w:name="_Toc296503211"/>
      <w:bookmarkStart w:id="470" w:name="_Toc297216215"/>
      <w:bookmarkStart w:id="471" w:name="_Toc292559921"/>
      <w:bookmarkStart w:id="472" w:name="_Toc296346712"/>
      <w:bookmarkStart w:id="473" w:name="_Toc300935006"/>
      <w:bookmarkStart w:id="474" w:name="_Toc303539163"/>
      <w:r>
        <w:rPr>
          <w:rFonts w:hint="eastAsia" w:ascii="宋体" w:hAnsi="宋体" w:eastAsia="宋体" w:cs="宋体"/>
          <w:color w:val="auto"/>
          <w:sz w:val="21"/>
          <w:szCs w:val="21"/>
          <w:highlight w:val="none"/>
        </w:rPr>
        <w:t>12.4.1</w:t>
      </w:r>
      <w:r>
        <w:rPr>
          <w:rFonts w:hint="eastAsia" w:ascii="宋体" w:hAnsi="宋体" w:eastAsia="宋体" w:cs="宋体"/>
          <w:b/>
          <w:bCs/>
          <w:color w:val="auto"/>
          <w:sz w:val="21"/>
          <w:szCs w:val="21"/>
          <w:highlight w:val="none"/>
        </w:rPr>
        <w:t xml:space="preserve"> 付款周期</w:t>
      </w:r>
    </w:p>
    <w:bookmarkEnd w:id="318"/>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22688C7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val="0"/>
          <w:bCs/>
          <w:color w:val="0000FF"/>
          <w:kern w:val="0"/>
          <w:sz w:val="21"/>
          <w:szCs w:val="21"/>
          <w:highlight w:val="none"/>
        </w:rPr>
      </w:pPr>
      <w:bookmarkStart w:id="475" w:name="_Toc51164682"/>
      <w:bookmarkStart w:id="476" w:name="_Toc8250"/>
      <w:bookmarkStart w:id="477" w:name="_Toc351203645"/>
      <w:bookmarkStart w:id="478" w:name="_Toc300935015"/>
      <w:bookmarkStart w:id="479" w:name="_Toc296944558"/>
      <w:bookmarkStart w:id="480" w:name="_Toc297048405"/>
      <w:bookmarkStart w:id="481" w:name="_Toc312678053"/>
      <w:bookmarkStart w:id="482" w:name="_Toc303539172"/>
      <w:bookmarkStart w:id="483" w:name="_Toc292559929"/>
      <w:bookmarkStart w:id="484" w:name="_Toc292559424"/>
      <w:bookmarkStart w:id="485" w:name="_Toc297123564"/>
      <w:bookmarkStart w:id="486" w:name="_Toc296503219"/>
      <w:bookmarkStart w:id="487" w:name="_Toc296891259"/>
      <w:bookmarkStart w:id="488" w:name="_Toc297216223"/>
      <w:bookmarkStart w:id="489" w:name="_Toc296347218"/>
      <w:bookmarkStart w:id="490" w:name="_Toc297120519"/>
      <w:bookmarkStart w:id="491" w:name="_Toc304295593"/>
      <w:bookmarkStart w:id="492" w:name="_Toc296891047"/>
      <w:bookmarkStart w:id="493" w:name="_Toc296346720"/>
      <w:r>
        <w:rPr>
          <w:rFonts w:hint="eastAsia" w:ascii="宋体" w:hAnsi="宋体" w:eastAsia="宋体" w:cs="宋体"/>
          <w:b w:val="0"/>
          <w:bCs/>
          <w:color w:val="0000FF"/>
          <w:kern w:val="0"/>
          <w:sz w:val="21"/>
          <w:szCs w:val="21"/>
          <w:highlight w:val="none"/>
        </w:rPr>
        <w:t>1）在合同工期内工程竣工验收合格后，2027年1月前付至合同价款的60%（扣除暂列金及未施工工程量）；</w:t>
      </w:r>
    </w:p>
    <w:p w14:paraId="10D8B0C1">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rPr>
        <w:t>2）2028年1月前按照审定价付清余款（保修金除外）；</w:t>
      </w:r>
    </w:p>
    <w:p w14:paraId="0E4C0178">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rPr>
        <w:t>3）上述款项均须在工程竣工验收合格且相关资料提交后方可支付。</w:t>
      </w:r>
    </w:p>
    <w:p w14:paraId="0B9B902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0000FF"/>
          <w:kern w:val="0"/>
          <w:sz w:val="21"/>
          <w:szCs w:val="21"/>
          <w:highlight w:val="none"/>
        </w:rPr>
      </w:pPr>
      <w:r>
        <w:rPr>
          <w:rFonts w:hint="eastAsia" w:ascii="宋体" w:hAnsi="宋体" w:eastAsia="宋体" w:cs="宋体"/>
          <w:b/>
          <w:bCs w:val="0"/>
          <w:color w:val="0000FF"/>
          <w:kern w:val="0"/>
          <w:sz w:val="21"/>
          <w:szCs w:val="21"/>
          <w:highlight w:val="none"/>
        </w:rPr>
        <w:t>注：1）上述每次付款须开具与付款金额等额的正式发票。</w:t>
      </w:r>
    </w:p>
    <w:p w14:paraId="1D28E8BE">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0000FF"/>
          <w:kern w:val="0"/>
          <w:sz w:val="21"/>
          <w:szCs w:val="21"/>
          <w:highlight w:val="none"/>
        </w:rPr>
      </w:pPr>
      <w:r>
        <w:rPr>
          <w:rFonts w:hint="eastAsia" w:ascii="宋体" w:hAnsi="宋体" w:eastAsia="宋体" w:cs="宋体"/>
          <w:b/>
          <w:bCs w:val="0"/>
          <w:color w:val="0000FF"/>
          <w:kern w:val="0"/>
          <w:sz w:val="21"/>
          <w:szCs w:val="21"/>
          <w:highlight w:val="none"/>
        </w:rPr>
        <w:t>2）工程变更、签证及增量部分涉及的价款在审计前暂不支付，结算审计后按合同约定支付。</w:t>
      </w:r>
    </w:p>
    <w:p w14:paraId="2D2ADE6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0000FF"/>
          <w:kern w:val="0"/>
          <w:sz w:val="21"/>
          <w:szCs w:val="21"/>
          <w:highlight w:val="none"/>
        </w:rPr>
      </w:pPr>
      <w:r>
        <w:rPr>
          <w:rFonts w:hint="eastAsia" w:ascii="宋体" w:hAnsi="宋体" w:eastAsia="宋体" w:cs="宋体"/>
          <w:b/>
          <w:bCs w:val="0"/>
          <w:color w:val="0000FF"/>
          <w:kern w:val="0"/>
          <w:sz w:val="21"/>
          <w:szCs w:val="21"/>
          <w:highlight w:val="none"/>
        </w:rPr>
        <w:t>3）实际工程量数据超过采购数量百分之十必须报校长、建装中心、规财科、局领导签字确认。</w:t>
      </w:r>
    </w:p>
    <w:p w14:paraId="71399C18">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0000FF"/>
          <w:kern w:val="0"/>
          <w:sz w:val="21"/>
          <w:szCs w:val="21"/>
          <w:highlight w:val="none"/>
        </w:rPr>
      </w:pPr>
      <w:r>
        <w:rPr>
          <w:rFonts w:hint="eastAsia" w:ascii="宋体" w:hAnsi="宋体" w:eastAsia="宋体" w:cs="宋体"/>
          <w:b/>
          <w:bCs w:val="0"/>
          <w:color w:val="0000FF"/>
          <w:kern w:val="0"/>
          <w:sz w:val="21"/>
          <w:szCs w:val="21"/>
          <w:highlight w:val="none"/>
          <w:lang w:val="en-US" w:eastAsia="zh-CN"/>
        </w:rPr>
        <w:t>4)</w:t>
      </w:r>
      <w:r>
        <w:rPr>
          <w:rFonts w:hint="eastAsia" w:ascii="宋体" w:hAnsi="宋体" w:eastAsia="宋体" w:cs="宋体"/>
          <w:b/>
          <w:bCs w:val="0"/>
          <w:color w:val="0000FF"/>
          <w:kern w:val="0"/>
          <w:sz w:val="21"/>
          <w:szCs w:val="21"/>
          <w:highlight w:val="none"/>
        </w:rPr>
        <w:t>中标人必须将竣工资料及其他相关施工资料提交完成后方可进行竣工验收，工程竣工验收合格方可进行工程结算审计。</w:t>
      </w:r>
    </w:p>
    <w:p w14:paraId="09F22611">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13. 验收和工程试车</w:t>
      </w:r>
      <w:bookmarkEnd w:id="475"/>
      <w:bookmarkEnd w:id="476"/>
      <w:bookmarkEnd w:id="477"/>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06B21D8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 分部分项工程验收</w:t>
      </w:r>
    </w:p>
    <w:p w14:paraId="61EA5DF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监理人不能按时进行验收时，应提前</w:t>
      </w:r>
      <w:r>
        <w:rPr>
          <w:rFonts w:hint="eastAsia" w:ascii="宋体" w:hAnsi="宋体" w:eastAsia="宋体" w:cs="宋体"/>
          <w:bCs/>
          <w:color w:val="auto"/>
          <w:sz w:val="21"/>
          <w:szCs w:val="21"/>
          <w:highlight w:val="none"/>
        </w:rPr>
        <w:t>24</w:t>
      </w:r>
      <w:r>
        <w:rPr>
          <w:rFonts w:hint="eastAsia" w:ascii="宋体" w:hAnsi="宋体" w:eastAsia="宋体" w:cs="宋体"/>
          <w:color w:val="auto"/>
          <w:sz w:val="21"/>
          <w:szCs w:val="21"/>
          <w:highlight w:val="none"/>
        </w:rPr>
        <w:t>小时提交书面延期要求。</w:t>
      </w:r>
    </w:p>
    <w:p w14:paraId="6BD4F20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bCs/>
          <w:color w:val="auto"/>
          <w:sz w:val="21"/>
          <w:szCs w:val="21"/>
          <w:highlight w:val="none"/>
          <w:u w:val="single"/>
        </w:rPr>
        <w:t>48</w:t>
      </w:r>
      <w:r>
        <w:rPr>
          <w:rFonts w:hint="eastAsia" w:ascii="宋体" w:hAnsi="宋体" w:eastAsia="宋体" w:cs="宋体"/>
          <w:color w:val="auto"/>
          <w:sz w:val="21"/>
          <w:szCs w:val="21"/>
          <w:highlight w:val="none"/>
          <w:u w:val="single"/>
        </w:rPr>
        <w:t>小时。</w:t>
      </w:r>
    </w:p>
    <w:p w14:paraId="06A3601A">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494" w:name="_Toc297123565"/>
      <w:bookmarkStart w:id="495" w:name="_Toc296346724"/>
      <w:bookmarkStart w:id="496" w:name="_Toc292559428"/>
      <w:bookmarkStart w:id="497" w:name="_Toc297120523"/>
      <w:bookmarkStart w:id="498" w:name="_Toc296503223"/>
      <w:bookmarkStart w:id="499" w:name="_Toc304295596"/>
      <w:bookmarkStart w:id="500" w:name="_Toc312678056"/>
      <w:bookmarkStart w:id="501" w:name="_Toc300935016"/>
      <w:bookmarkStart w:id="502" w:name="_Toc297216224"/>
      <w:bookmarkStart w:id="503" w:name="_Toc296944562"/>
      <w:bookmarkStart w:id="504" w:name="_Toc296891263"/>
      <w:bookmarkStart w:id="505" w:name="_Toc296347222"/>
      <w:bookmarkStart w:id="506" w:name="_Toc297048409"/>
      <w:bookmarkStart w:id="507" w:name="_Toc303539173"/>
      <w:bookmarkStart w:id="508" w:name="_Toc292559933"/>
      <w:bookmarkStart w:id="509" w:name="_Toc296891051"/>
      <w:bookmarkStart w:id="510" w:name="_Toc267251475"/>
      <w:bookmarkStart w:id="511" w:name="_Toc267251470"/>
      <w:bookmarkStart w:id="512" w:name="_Toc267251474"/>
      <w:bookmarkStart w:id="513" w:name="_Toc267251473"/>
      <w:bookmarkStart w:id="514" w:name="_Toc267251472"/>
      <w:bookmarkStart w:id="515" w:name="_Toc267251471"/>
      <w:bookmarkStart w:id="516" w:name="_Toc267251476"/>
      <w:r>
        <w:rPr>
          <w:rFonts w:hint="eastAsia" w:ascii="宋体" w:hAnsi="宋体" w:eastAsia="宋体" w:cs="宋体"/>
          <w:color w:val="auto"/>
          <w:sz w:val="21"/>
          <w:szCs w:val="21"/>
          <w:highlight w:val="none"/>
        </w:rPr>
        <w:t>13.2 竣工验收</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0095940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517" w:name="_Toc280868707"/>
      <w:bookmarkStart w:id="518" w:name="_Toc280868706"/>
      <w:bookmarkStart w:id="519" w:name="_Toc280868704"/>
      <w:bookmarkStart w:id="520" w:name="_Toc280868705"/>
      <w:bookmarkStart w:id="521" w:name="_Toc280868708"/>
      <w:bookmarkStart w:id="522" w:name="_Toc280868709"/>
      <w:r>
        <w:rPr>
          <w:rFonts w:hint="eastAsia" w:ascii="宋体" w:hAnsi="宋体" w:eastAsia="宋体" w:cs="宋体"/>
          <w:color w:val="auto"/>
          <w:sz w:val="21"/>
          <w:szCs w:val="21"/>
          <w:highlight w:val="none"/>
        </w:rPr>
        <w:t>13.2.2 竣工验收程序</w:t>
      </w:r>
    </w:p>
    <w:bookmarkEnd w:id="517"/>
    <w:bookmarkEnd w:id="518"/>
    <w:bookmarkEnd w:id="519"/>
    <w:bookmarkEnd w:id="520"/>
    <w:p w14:paraId="0ECA6FC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关于竣工验收程序的约定：</w:t>
      </w:r>
      <w:r>
        <w:rPr>
          <w:rFonts w:hint="eastAsia" w:ascii="宋体" w:hAnsi="宋体" w:eastAsia="宋体" w:cs="宋体"/>
          <w:bCs/>
          <w:color w:val="auto"/>
          <w:sz w:val="21"/>
          <w:szCs w:val="21"/>
          <w:highlight w:val="none"/>
          <w:u w:val="single"/>
        </w:rPr>
        <w:t>根据政府相关部门颁发的竣工验收相关规定及技术档案管理条例编制整理的竣工资料和竣工图，在竣工质量验收（俗称竣前验收）之前经监理及发包人、总承包单位及业主认可后移交给发包人，若承包人未能及时移交，竣工质量验收延后，直至承包人完整移交竣工图及竣工资料为止，由此造成的工期延误或其他一切损失由承包人承担。本工程验收由发包人组织，承包人、监理单位、设计单位</w:t>
      </w:r>
      <w:r>
        <w:rPr>
          <w:rFonts w:hint="eastAsia" w:ascii="宋体" w:hAnsi="宋体" w:eastAsia="宋体" w:cs="宋体"/>
          <w:bCs/>
          <w:color w:val="auto"/>
          <w:sz w:val="21"/>
          <w:szCs w:val="21"/>
          <w:highlight w:val="none"/>
          <w:u w:val="single"/>
          <w:lang w:val="en-US" w:eastAsia="zh-CN"/>
        </w:rPr>
        <w:t>等</w:t>
      </w:r>
      <w:r>
        <w:rPr>
          <w:rFonts w:hint="eastAsia" w:ascii="宋体" w:hAnsi="宋体" w:eastAsia="宋体" w:cs="宋体"/>
          <w:bCs/>
          <w:color w:val="auto"/>
          <w:sz w:val="21"/>
          <w:szCs w:val="21"/>
          <w:highlight w:val="none"/>
          <w:u w:val="single"/>
        </w:rPr>
        <w:t>相关部门共同参与验收。</w:t>
      </w:r>
    </w:p>
    <w:p w14:paraId="1178F1F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发包人不按照本项约定组织竣工验收、颁发</w:t>
      </w:r>
      <w:r>
        <w:rPr>
          <w:rFonts w:hint="eastAsia" w:ascii="宋体" w:hAnsi="宋体" w:eastAsia="宋体" w:cs="宋体"/>
          <w:color w:val="auto"/>
          <w:kern w:val="0"/>
          <w:sz w:val="21"/>
          <w:szCs w:val="21"/>
          <w:highlight w:val="none"/>
          <w:lang w:eastAsia="zh-CN"/>
        </w:rPr>
        <w:t>工程验收</w:t>
      </w:r>
      <w:r>
        <w:rPr>
          <w:rFonts w:hint="eastAsia" w:ascii="宋体" w:hAnsi="宋体" w:eastAsia="宋体" w:cs="宋体"/>
          <w:color w:val="auto"/>
          <w:kern w:val="0"/>
          <w:sz w:val="21"/>
          <w:szCs w:val="21"/>
          <w:highlight w:val="none"/>
        </w:rPr>
        <w:t>证书的违约金的计算方法：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7F3A7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13.2.5 移交、接收全部与部分工程</w:t>
      </w:r>
    </w:p>
    <w:p w14:paraId="57BA7B7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承包人向发包人移交工程的期限：</w:t>
      </w:r>
      <w:r>
        <w:rPr>
          <w:rFonts w:hint="eastAsia" w:ascii="宋体" w:hAnsi="宋体" w:eastAsia="宋体" w:cs="宋体"/>
          <w:bCs/>
          <w:color w:val="auto"/>
          <w:sz w:val="21"/>
          <w:szCs w:val="21"/>
          <w:highlight w:val="none"/>
          <w:u w:val="single"/>
        </w:rPr>
        <w:t>根据发包人要求执行</w:t>
      </w:r>
      <w:r>
        <w:rPr>
          <w:rFonts w:hint="eastAsia" w:ascii="宋体" w:hAnsi="宋体" w:eastAsia="宋体" w:cs="宋体"/>
          <w:color w:val="auto"/>
          <w:sz w:val="21"/>
          <w:szCs w:val="21"/>
          <w:highlight w:val="none"/>
          <w:u w:val="single"/>
        </w:rPr>
        <w:t>。</w:t>
      </w:r>
    </w:p>
    <w:p w14:paraId="69341AB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发包人未按本合同约定接收全部或部分工程的，违约金的计算方法为：</w:t>
      </w:r>
      <w:r>
        <w:rPr>
          <w:rFonts w:hint="eastAsia" w:ascii="宋体" w:hAnsi="宋体" w:eastAsia="宋体" w:cs="宋体"/>
          <w:bCs/>
          <w:color w:val="auto"/>
          <w:sz w:val="21"/>
          <w:szCs w:val="21"/>
          <w:highlight w:val="none"/>
          <w:u w:val="single"/>
        </w:rPr>
        <w:t>根据发包人要求执行</w:t>
      </w:r>
      <w:r>
        <w:rPr>
          <w:rFonts w:hint="eastAsia" w:ascii="宋体" w:hAnsi="宋体" w:eastAsia="宋体" w:cs="宋体"/>
          <w:color w:val="auto"/>
          <w:sz w:val="21"/>
          <w:szCs w:val="21"/>
          <w:highlight w:val="none"/>
          <w:u w:val="single"/>
        </w:rPr>
        <w:t>。</w:t>
      </w:r>
    </w:p>
    <w:p w14:paraId="291D41E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承包人未按时移交工程的，违约金的计算方法为：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ED6ACF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 工程试车</w:t>
      </w:r>
    </w:p>
    <w:bookmarkEnd w:id="521"/>
    <w:p w14:paraId="29D222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13.3.1 试车程序</w:t>
      </w:r>
    </w:p>
    <w:p w14:paraId="039EA19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工程试车内容：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EF4AFD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（1）单机无负荷试车费用由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承担；</w:t>
      </w:r>
    </w:p>
    <w:p w14:paraId="04F3F7A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（2）无负荷联动试车费用由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承担。</w:t>
      </w:r>
    </w:p>
    <w:p w14:paraId="1DC0CCC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13.3.3 投料试车</w:t>
      </w:r>
    </w:p>
    <w:p w14:paraId="55235CB7">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关于投料试车相关事项的约定：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94485B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 竣工退场</w:t>
      </w:r>
    </w:p>
    <w:p w14:paraId="61F74B5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13.6.1 竣工退场</w:t>
      </w:r>
    </w:p>
    <w:p w14:paraId="5A006B5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承包人完成竣工退场的期限：</w:t>
      </w:r>
      <w:r>
        <w:rPr>
          <w:rFonts w:hint="eastAsia" w:ascii="宋体" w:hAnsi="宋体" w:eastAsia="宋体" w:cs="宋体"/>
          <w:bCs/>
          <w:color w:val="auto"/>
          <w:sz w:val="21"/>
          <w:szCs w:val="21"/>
          <w:highlight w:val="none"/>
          <w:u w:val="single"/>
        </w:rPr>
        <w:t>按发包人要求期限执行</w:t>
      </w:r>
      <w:r>
        <w:rPr>
          <w:rFonts w:hint="eastAsia" w:ascii="宋体" w:hAnsi="宋体" w:eastAsia="宋体" w:cs="宋体"/>
          <w:color w:val="auto"/>
          <w:kern w:val="0"/>
          <w:sz w:val="21"/>
          <w:szCs w:val="21"/>
          <w:highlight w:val="none"/>
          <w:u w:val="single"/>
        </w:rPr>
        <w:t>。</w:t>
      </w:r>
    </w:p>
    <w:p w14:paraId="0DADC516">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23" w:name="_Toc351203646"/>
      <w:bookmarkStart w:id="524" w:name="_Toc9592"/>
      <w:bookmarkStart w:id="525" w:name="_Toc51164683"/>
      <w:r>
        <w:rPr>
          <w:rFonts w:hint="eastAsia" w:ascii="宋体" w:hAnsi="宋体" w:eastAsia="宋体" w:cs="宋体"/>
          <w:b/>
          <w:color w:val="auto"/>
          <w:kern w:val="0"/>
          <w:sz w:val="21"/>
          <w:szCs w:val="21"/>
          <w:highlight w:val="none"/>
          <w:lang w:val="en-US" w:eastAsia="zh-CN" w:bidi="ar-SA"/>
        </w:rPr>
        <w:t>14. 竣工结算</w:t>
      </w:r>
      <w:bookmarkEnd w:id="523"/>
      <w:bookmarkEnd w:id="524"/>
      <w:bookmarkEnd w:id="525"/>
    </w:p>
    <w:p w14:paraId="5C09C7F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竣工结算申请</w:t>
      </w:r>
    </w:p>
    <w:p w14:paraId="53187B4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承包人提交竣工结算申请单的期限：</w:t>
      </w:r>
      <w:r>
        <w:rPr>
          <w:rFonts w:hint="eastAsia" w:ascii="宋体" w:hAnsi="宋体" w:eastAsia="宋体" w:cs="宋体"/>
          <w:bCs/>
          <w:color w:val="auto"/>
          <w:sz w:val="21"/>
          <w:szCs w:val="21"/>
          <w:highlight w:val="none"/>
          <w:u w:val="single"/>
        </w:rPr>
        <w:t>工程竣工移交后两个月内。</w:t>
      </w:r>
    </w:p>
    <w:p w14:paraId="4EDB80E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竣工结算申请单应包括的内容：</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5FA2C5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竣工结算审核</w:t>
      </w:r>
    </w:p>
    <w:p w14:paraId="5615A55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发包人审批竣工付款申请单的期限</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rPr>
        <w:t>。</w:t>
      </w:r>
    </w:p>
    <w:p w14:paraId="5BAF992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发包人完成竣工付款的期限：</w:t>
      </w:r>
      <w:r>
        <w:rPr>
          <w:rFonts w:hint="eastAsia" w:ascii="宋体" w:hAnsi="宋体" w:eastAsia="宋体" w:cs="宋体"/>
          <w:bCs/>
          <w:color w:val="auto"/>
          <w:sz w:val="21"/>
          <w:szCs w:val="21"/>
          <w:highlight w:val="none"/>
          <w:u w:val="single"/>
        </w:rPr>
        <w:t>按照合同规定条款执行</w:t>
      </w:r>
      <w:r>
        <w:rPr>
          <w:rFonts w:hint="eastAsia" w:ascii="宋体" w:hAnsi="宋体" w:eastAsia="宋体" w:cs="宋体"/>
          <w:color w:val="auto"/>
          <w:sz w:val="21"/>
          <w:szCs w:val="21"/>
          <w:highlight w:val="none"/>
          <w:u w:val="single"/>
        </w:rPr>
        <w:t>。</w:t>
      </w:r>
    </w:p>
    <w:p w14:paraId="2893814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关于竣工付款证书异议部分复核的方式和程序：</w:t>
      </w:r>
      <w:r>
        <w:rPr>
          <w:rFonts w:hint="eastAsia" w:ascii="宋体" w:hAnsi="宋体" w:eastAsia="宋体" w:cs="宋体"/>
          <w:bCs/>
          <w:color w:val="auto"/>
          <w:sz w:val="21"/>
          <w:szCs w:val="21"/>
          <w:highlight w:val="none"/>
          <w:u w:val="single"/>
        </w:rPr>
        <w:t>双方另行协商。</w:t>
      </w:r>
    </w:p>
    <w:p w14:paraId="514B3D1A">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 最终结清</w:t>
      </w:r>
    </w:p>
    <w:p w14:paraId="3CBC527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14.4.1 最终结清申请单</w:t>
      </w:r>
    </w:p>
    <w:bookmarkEnd w:id="510"/>
    <w:bookmarkEnd w:id="511"/>
    <w:bookmarkEnd w:id="512"/>
    <w:bookmarkEnd w:id="513"/>
    <w:bookmarkEnd w:id="514"/>
    <w:bookmarkEnd w:id="515"/>
    <w:bookmarkEnd w:id="516"/>
    <w:bookmarkEnd w:id="522"/>
    <w:p w14:paraId="4109E0D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bookmarkStart w:id="526" w:name="_Toc351203647"/>
      <w:bookmarkStart w:id="527" w:name="_Toc267251483"/>
      <w:bookmarkStart w:id="528" w:name="_Toc267251484"/>
      <w:bookmarkStart w:id="529" w:name="_Toc267251482"/>
      <w:bookmarkStart w:id="530" w:name="_Toc267251485"/>
      <w:bookmarkStart w:id="531" w:name="_Toc267251490"/>
      <w:bookmarkStart w:id="532" w:name="_Toc267251488"/>
      <w:bookmarkStart w:id="533" w:name="_Toc267251489"/>
      <w:bookmarkStart w:id="534" w:name="_Toc267251486"/>
      <w:bookmarkStart w:id="535" w:name="_Toc267251503"/>
      <w:bookmarkStart w:id="536" w:name="_Toc267251502"/>
      <w:bookmarkStart w:id="537" w:name="_Toc267251493"/>
      <w:bookmarkStart w:id="538" w:name="_Toc267251495"/>
      <w:bookmarkStart w:id="539" w:name="_Toc267251494"/>
      <w:bookmarkStart w:id="540" w:name="_Toc267251491"/>
      <w:bookmarkStart w:id="541" w:name="_Toc267251492"/>
      <w:bookmarkStart w:id="542" w:name="_Toc267251499"/>
      <w:bookmarkStart w:id="543" w:name="_Toc267251496"/>
      <w:bookmarkStart w:id="544" w:name="_Toc267251501"/>
      <w:bookmarkStart w:id="545" w:name="_Toc267251497"/>
      <w:bookmarkStart w:id="546" w:name="_Toc267251498"/>
      <w:bookmarkStart w:id="547" w:name="_Toc267251507"/>
      <w:bookmarkStart w:id="548" w:name="_Toc267251504"/>
      <w:bookmarkStart w:id="549" w:name="_Toc267251506"/>
      <w:bookmarkStart w:id="550" w:name="_Toc267251508"/>
      <w:bookmarkStart w:id="551" w:name="_Toc267251514"/>
      <w:bookmarkStart w:id="552" w:name="_Toc267251510"/>
      <w:bookmarkStart w:id="553" w:name="_Toc267251515"/>
      <w:bookmarkStart w:id="554" w:name="_Toc267251511"/>
      <w:bookmarkStart w:id="555" w:name="_Toc267251513"/>
      <w:bookmarkStart w:id="556" w:name="_Toc267251509"/>
      <w:r>
        <w:rPr>
          <w:rFonts w:hint="eastAsia" w:ascii="宋体" w:hAnsi="宋体" w:eastAsia="宋体" w:cs="宋体"/>
          <w:color w:val="auto"/>
          <w:kern w:val="0"/>
          <w:sz w:val="21"/>
          <w:szCs w:val="21"/>
          <w:highlight w:val="none"/>
        </w:rPr>
        <w:t>承包人提交最终结清申请单的份数：</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623D93B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承包人提交最终结算申请单的期限：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1CE14D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14.4.2 最终结清证书和支付</w:t>
      </w:r>
    </w:p>
    <w:p w14:paraId="535792D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（1）发包人完成最终结清申请单的审批并颁发最终结清证书的期限：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58E19CD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（2）发包人完成支付的期限：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4D97C2A8">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57" w:name="_Toc19976"/>
      <w:bookmarkStart w:id="558" w:name="_Toc51164684"/>
      <w:r>
        <w:rPr>
          <w:rFonts w:hint="eastAsia" w:ascii="宋体" w:hAnsi="宋体" w:eastAsia="宋体" w:cs="宋体"/>
          <w:b/>
          <w:color w:val="auto"/>
          <w:kern w:val="0"/>
          <w:sz w:val="21"/>
          <w:szCs w:val="21"/>
          <w:highlight w:val="none"/>
          <w:lang w:val="en-US" w:eastAsia="zh-CN" w:bidi="ar-SA"/>
        </w:rPr>
        <w:t>15. 缺陷责任期与保修</w:t>
      </w:r>
      <w:bookmarkEnd w:id="526"/>
      <w:bookmarkEnd w:id="557"/>
      <w:bookmarkEnd w:id="558"/>
    </w:p>
    <w:p w14:paraId="6D02A53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缺陷责任期</w:t>
      </w:r>
      <w:bookmarkEnd w:id="527"/>
    </w:p>
    <w:p w14:paraId="5255ED3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缺陷责任期的具体期限：</w:t>
      </w:r>
      <w:r>
        <w:rPr>
          <w:rFonts w:hint="eastAsia" w:ascii="宋体" w:hAnsi="宋体" w:eastAsia="宋体" w:cs="宋体"/>
          <w:bCs/>
          <w:color w:val="auto"/>
          <w:sz w:val="21"/>
          <w:szCs w:val="21"/>
          <w:highlight w:val="none"/>
          <w:u w:val="single"/>
        </w:rPr>
        <w:t>24个月</w:t>
      </w:r>
      <w:r>
        <w:rPr>
          <w:rFonts w:hint="eastAsia" w:ascii="宋体" w:hAnsi="宋体" w:eastAsia="宋体" w:cs="宋体"/>
          <w:color w:val="auto"/>
          <w:sz w:val="21"/>
          <w:szCs w:val="21"/>
          <w:highlight w:val="none"/>
          <w:u w:val="single"/>
        </w:rPr>
        <w:t>。</w:t>
      </w:r>
    </w:p>
    <w:p w14:paraId="1A35288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0BCBDA4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bCs/>
          <w:color w:val="auto"/>
          <w:sz w:val="21"/>
          <w:szCs w:val="21"/>
          <w:highlight w:val="none"/>
          <w:u w:val="single"/>
        </w:rPr>
        <w:t>按审定价的3%扣除质量保证金</w:t>
      </w:r>
      <w:r>
        <w:rPr>
          <w:rFonts w:hint="eastAsia" w:ascii="宋体" w:hAnsi="宋体" w:eastAsia="宋体" w:cs="宋体"/>
          <w:color w:val="auto"/>
          <w:sz w:val="21"/>
          <w:szCs w:val="21"/>
          <w:highlight w:val="none"/>
          <w:u w:val="single"/>
        </w:rPr>
        <w:t>。</w:t>
      </w:r>
    </w:p>
    <w:bookmarkEnd w:id="528"/>
    <w:bookmarkEnd w:id="529"/>
    <w:p w14:paraId="18A3F5A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 保修</w:t>
      </w:r>
    </w:p>
    <w:bookmarkEnd w:id="530"/>
    <w:p w14:paraId="23C4EBA3">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14:paraId="3CEC944C">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工程保修期为：</w:t>
      </w:r>
      <w:r>
        <w:rPr>
          <w:rFonts w:hint="eastAsia" w:ascii="宋体" w:hAnsi="宋体" w:eastAsia="宋体" w:cs="宋体"/>
          <w:bCs/>
          <w:color w:val="auto"/>
          <w:kern w:val="0"/>
          <w:sz w:val="21"/>
          <w:szCs w:val="21"/>
          <w:highlight w:val="none"/>
          <w:u w:val="single"/>
        </w:rPr>
        <w:t>详见工程质量保修书</w:t>
      </w:r>
      <w:r>
        <w:rPr>
          <w:rFonts w:hint="eastAsia" w:ascii="宋体" w:hAnsi="宋体" w:eastAsia="宋体" w:cs="宋体"/>
          <w:color w:val="auto"/>
          <w:kern w:val="0"/>
          <w:sz w:val="21"/>
          <w:szCs w:val="21"/>
          <w:highlight w:val="none"/>
          <w:u w:val="single"/>
        </w:rPr>
        <w:t>。</w:t>
      </w:r>
    </w:p>
    <w:p w14:paraId="15F978D0">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修复通知</w:t>
      </w:r>
    </w:p>
    <w:bookmarkEnd w:id="531"/>
    <w:bookmarkEnd w:id="532"/>
    <w:bookmarkEnd w:id="533"/>
    <w:bookmarkEnd w:id="534"/>
    <w:p w14:paraId="3D3C9AE5">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kern w:val="0"/>
          <w:sz w:val="21"/>
          <w:szCs w:val="21"/>
          <w:highlight w:val="none"/>
          <w:u w:val="single"/>
        </w:rPr>
      </w:pPr>
      <w:bookmarkStart w:id="559" w:name="_Toc351203648"/>
      <w:bookmarkStart w:id="560" w:name="_Toc280868717"/>
      <w:bookmarkStart w:id="561" w:name="_Toc280868718"/>
      <w:r>
        <w:rPr>
          <w:rFonts w:hint="eastAsia" w:ascii="宋体" w:hAnsi="宋体" w:eastAsia="宋体" w:cs="宋体"/>
          <w:color w:val="auto"/>
          <w:kern w:val="0"/>
          <w:sz w:val="21"/>
          <w:szCs w:val="21"/>
          <w:highlight w:val="none"/>
        </w:rPr>
        <w:t>承包人收到保修通知并到达工程现场的合理时间：</w:t>
      </w:r>
      <w:r>
        <w:rPr>
          <w:rFonts w:hint="eastAsia" w:ascii="宋体" w:hAnsi="宋体" w:eastAsia="宋体" w:cs="宋体"/>
          <w:bCs/>
          <w:color w:val="auto"/>
          <w:kern w:val="0"/>
          <w:sz w:val="21"/>
          <w:szCs w:val="21"/>
          <w:highlight w:val="none"/>
          <w:u w:val="single"/>
        </w:rPr>
        <w:t>承包人收到保修通知后</w:t>
      </w:r>
      <w:r>
        <w:rPr>
          <w:rFonts w:hint="eastAsia" w:ascii="宋体" w:hAnsi="宋体" w:eastAsia="宋体" w:cs="宋体"/>
          <w:bCs/>
          <w:color w:val="auto"/>
          <w:kern w:val="0"/>
          <w:sz w:val="21"/>
          <w:szCs w:val="21"/>
          <w:highlight w:val="none"/>
          <w:u w:val="single"/>
          <w:lang w:val="en-US" w:eastAsia="zh-CN"/>
        </w:rPr>
        <w:t>24</w:t>
      </w:r>
      <w:r>
        <w:rPr>
          <w:rFonts w:hint="eastAsia" w:ascii="宋体" w:hAnsi="宋体" w:eastAsia="宋体" w:cs="宋体"/>
          <w:bCs/>
          <w:color w:val="auto"/>
          <w:kern w:val="0"/>
          <w:sz w:val="21"/>
          <w:szCs w:val="21"/>
          <w:highlight w:val="none"/>
          <w:u w:val="single"/>
        </w:rPr>
        <w:t>小时内到达工程现场</w:t>
      </w:r>
      <w:r>
        <w:rPr>
          <w:rFonts w:hint="eastAsia" w:ascii="宋体" w:hAnsi="宋体" w:eastAsia="宋体" w:cs="宋体"/>
          <w:color w:val="auto"/>
          <w:kern w:val="0"/>
          <w:sz w:val="21"/>
          <w:szCs w:val="21"/>
          <w:highlight w:val="none"/>
          <w:u w:val="single"/>
        </w:rPr>
        <w:t>。</w:t>
      </w:r>
    </w:p>
    <w:p w14:paraId="0930835F">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62" w:name="_Toc51164685"/>
      <w:bookmarkStart w:id="563" w:name="_Toc20014"/>
      <w:r>
        <w:rPr>
          <w:rFonts w:hint="eastAsia" w:ascii="宋体" w:hAnsi="宋体" w:eastAsia="宋体" w:cs="宋体"/>
          <w:b/>
          <w:color w:val="auto"/>
          <w:kern w:val="0"/>
          <w:sz w:val="21"/>
          <w:szCs w:val="21"/>
          <w:highlight w:val="none"/>
          <w:lang w:val="en-US" w:eastAsia="zh-CN" w:bidi="ar-SA"/>
        </w:rPr>
        <w:t>16. 违约</w:t>
      </w:r>
      <w:bookmarkEnd w:id="559"/>
      <w:bookmarkEnd w:id="562"/>
      <w:bookmarkEnd w:id="563"/>
    </w:p>
    <w:p w14:paraId="557C1343">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发包人违约</w:t>
      </w:r>
    </w:p>
    <w:p w14:paraId="05DCB2E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发包人违约的情形</w:t>
      </w:r>
    </w:p>
    <w:p w14:paraId="3C44A09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发包人违约的其他情形：</w:t>
      </w:r>
      <w:r>
        <w:rPr>
          <w:rFonts w:hint="eastAsia" w:ascii="宋体" w:hAnsi="宋体" w:eastAsia="宋体" w:cs="宋体"/>
          <w:bCs/>
          <w:color w:val="auto"/>
          <w:kern w:val="0"/>
          <w:sz w:val="21"/>
          <w:szCs w:val="21"/>
          <w:highlight w:val="none"/>
          <w:u w:val="single"/>
        </w:rPr>
        <w:t>若因发包人原因需减少或取消部分工程量清单，发包人只对已发生的合格工程量负责，根据已发生的合格工程量与承包人办理结算，不承担其它违约责任</w:t>
      </w:r>
      <w:r>
        <w:rPr>
          <w:rFonts w:hint="eastAsia" w:ascii="宋体" w:hAnsi="宋体" w:eastAsia="宋体" w:cs="宋体"/>
          <w:color w:val="auto"/>
          <w:kern w:val="0"/>
          <w:sz w:val="21"/>
          <w:szCs w:val="21"/>
          <w:highlight w:val="none"/>
          <w:u w:val="single"/>
        </w:rPr>
        <w:t>。</w:t>
      </w:r>
    </w:p>
    <w:p w14:paraId="6614EBEF">
      <w:pPr>
        <w:pageBreakBefore w:val="0"/>
        <w:widowControl w:val="0"/>
        <w:kinsoku/>
        <w:wordWrap/>
        <w:overflowPunct/>
        <w:topLinePunct w:val="0"/>
        <w:bidi w:val="0"/>
        <w:snapToGrid/>
        <w:spacing w:line="400" w:lineRule="exact"/>
        <w:ind w:left="210" w:firstLine="21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16.1.2 发包人违约的责任</w:t>
      </w:r>
    </w:p>
    <w:p w14:paraId="739D3D2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发包人违约责任的承担方式和计算方法：</w:t>
      </w:r>
      <w:r>
        <w:rPr>
          <w:rFonts w:hint="eastAsia" w:ascii="宋体" w:hAnsi="宋体" w:eastAsia="宋体" w:cs="宋体"/>
          <w:color w:val="auto"/>
          <w:kern w:val="0"/>
          <w:sz w:val="21"/>
          <w:szCs w:val="21"/>
          <w:highlight w:val="none"/>
          <w:u w:val="single"/>
          <w:lang w:val="en-US" w:eastAsia="zh-CN"/>
        </w:rPr>
        <w:t xml:space="preserve">  /  </w:t>
      </w:r>
    </w:p>
    <w:p w14:paraId="68ED6CC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承包人违约</w:t>
      </w:r>
    </w:p>
    <w:p w14:paraId="748BFC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bookmarkStart w:id="564" w:name="_Toc351203649"/>
      <w:r>
        <w:rPr>
          <w:rFonts w:hint="eastAsia" w:ascii="宋体" w:hAnsi="宋体" w:eastAsia="宋体" w:cs="宋体"/>
          <w:color w:val="auto"/>
          <w:kern w:val="0"/>
          <w:sz w:val="21"/>
          <w:szCs w:val="21"/>
          <w:highlight w:val="none"/>
        </w:rPr>
        <w:t>16.2.1 承包人违约的情形</w:t>
      </w:r>
    </w:p>
    <w:p w14:paraId="12B1DCB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承包人违约的其他情形：</w:t>
      </w:r>
    </w:p>
    <w:p w14:paraId="667520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kern w:val="0"/>
          <w:sz w:val="21"/>
          <w:szCs w:val="21"/>
          <w:highlight w:val="none"/>
          <w:u w:val="single"/>
        </w:rPr>
      </w:pPr>
      <w:r>
        <w:rPr>
          <w:rFonts w:hint="eastAsia" w:ascii="宋体" w:hAnsi="宋体" w:eastAsia="宋体" w:cs="宋体"/>
          <w:bCs/>
          <w:color w:val="auto"/>
          <w:kern w:val="0"/>
          <w:sz w:val="21"/>
          <w:szCs w:val="21"/>
          <w:highlight w:val="none"/>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5FE794C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bCs/>
          <w:color w:val="auto"/>
          <w:kern w:val="0"/>
          <w:sz w:val="21"/>
          <w:szCs w:val="21"/>
          <w:highlight w:val="none"/>
          <w:u w:val="single"/>
        </w:rPr>
        <w:t>（2）承包人不得以任何理由拒绝发包人提出的关于工程设计变更及其他零星工作施工的要求，否则按本合同相关条款执行</w:t>
      </w:r>
      <w:r>
        <w:rPr>
          <w:rFonts w:hint="eastAsia" w:ascii="宋体" w:hAnsi="宋体" w:eastAsia="宋体" w:cs="宋体"/>
          <w:color w:val="auto"/>
          <w:kern w:val="0"/>
          <w:sz w:val="21"/>
          <w:szCs w:val="21"/>
          <w:highlight w:val="none"/>
          <w:u w:val="single"/>
        </w:rPr>
        <w:t>。</w:t>
      </w:r>
    </w:p>
    <w:p w14:paraId="394867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16.2.2 承包人违约的责任</w:t>
      </w:r>
    </w:p>
    <w:p w14:paraId="0771CCC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承包人违约责任的承担方式和计算方法：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1C80C7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16.2.3 因承包人违约解除合同</w:t>
      </w:r>
    </w:p>
    <w:p w14:paraId="4EF4C4A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关于承包人违约解除合同的特别约定：</w:t>
      </w:r>
      <w:r>
        <w:rPr>
          <w:rFonts w:hint="eastAsia" w:ascii="宋体" w:hAnsi="宋体" w:eastAsia="宋体" w:cs="宋体"/>
          <w:bCs/>
          <w:color w:val="auto"/>
          <w:kern w:val="0"/>
          <w:sz w:val="21"/>
          <w:szCs w:val="21"/>
          <w:highlight w:val="none"/>
          <w:u w:val="single"/>
        </w:rPr>
        <w:t>1、现场具备施工条件后，承包人应按要求的进度及监理发出的开工令及时组织开工，无故拖延工程开工达30日且协商不成的，发包人有权单方解除合同，承包人承担由此产生的</w:t>
      </w:r>
      <w:r>
        <w:rPr>
          <w:rFonts w:hint="eastAsia" w:ascii="宋体" w:hAnsi="宋体" w:eastAsia="宋体" w:cs="宋体"/>
          <w:bCs/>
          <w:color w:val="auto"/>
          <w:kern w:val="0"/>
          <w:sz w:val="21"/>
          <w:szCs w:val="21"/>
          <w:highlight w:val="none"/>
          <w:u w:val="single"/>
          <w:lang w:eastAsia="zh-CN"/>
        </w:rPr>
        <w:t>重新招标、专家论证等</w:t>
      </w:r>
      <w:r>
        <w:rPr>
          <w:rFonts w:hint="eastAsia" w:ascii="宋体" w:hAnsi="宋体" w:eastAsia="宋体" w:cs="宋体"/>
          <w:bCs/>
          <w:color w:val="auto"/>
          <w:kern w:val="0"/>
          <w:sz w:val="21"/>
          <w:szCs w:val="21"/>
          <w:highlight w:val="none"/>
          <w:u w:val="single"/>
        </w:rPr>
        <w:t>一切损失和相关责任。2、因承包人原因造成工期延误30天以上（对比同期工程总进度计划），除扣除相应延期违约金外，承包人必须制定相应的赶工计划和赶工措施，赶工不力或拒不赶工的，工期延误45天以上（对比同期工程总进度计划），发包人有权解除合同。3、发包人有证据确认本工程中标的项目经理无法胜任或者不能积极配合监理人及发包人正常工作的，经发包人提出后，必须在 3 日内调离本工程，同时承包人应在 3 日内用发包人批准的项目经理代替上述调离的中标项目经理，若拒不整改，发包人有权解除合同。4、承包人在工程施工过程中，使用劣质材料或检测不合格材料，经监理单位和发包人查实且拒不整改的，发包方有权单方解除合同</w:t>
      </w:r>
      <w:r>
        <w:rPr>
          <w:rFonts w:hint="eastAsia" w:ascii="宋体" w:hAnsi="宋体" w:eastAsia="宋体" w:cs="宋体"/>
          <w:color w:val="auto"/>
          <w:kern w:val="0"/>
          <w:sz w:val="21"/>
          <w:szCs w:val="21"/>
          <w:highlight w:val="none"/>
          <w:u w:val="single"/>
        </w:rPr>
        <w:t>。</w:t>
      </w:r>
    </w:p>
    <w:p w14:paraId="6EF01677">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65" w:name="_Toc14379"/>
      <w:bookmarkStart w:id="566" w:name="_Toc51164686"/>
      <w:r>
        <w:rPr>
          <w:rFonts w:hint="eastAsia" w:ascii="宋体" w:hAnsi="宋体" w:eastAsia="宋体" w:cs="宋体"/>
          <w:b/>
          <w:color w:val="auto"/>
          <w:kern w:val="0"/>
          <w:sz w:val="21"/>
          <w:szCs w:val="21"/>
          <w:highlight w:val="none"/>
          <w:lang w:val="en-US" w:eastAsia="zh-CN" w:bidi="ar-SA"/>
        </w:rPr>
        <w:t>17. 不可抗力</w:t>
      </w:r>
      <w:bookmarkEnd w:id="564"/>
      <w:bookmarkEnd w:id="565"/>
      <w:bookmarkEnd w:id="566"/>
      <w:r>
        <w:rPr>
          <w:rFonts w:hint="eastAsia" w:ascii="宋体" w:hAnsi="宋体" w:eastAsia="宋体" w:cs="宋体"/>
          <w:b/>
          <w:color w:val="auto"/>
          <w:kern w:val="0"/>
          <w:sz w:val="21"/>
          <w:szCs w:val="21"/>
          <w:highlight w:val="none"/>
          <w:lang w:val="en-US" w:eastAsia="zh-CN" w:bidi="ar-SA"/>
        </w:rPr>
        <w:t xml:space="preserve"> </w:t>
      </w:r>
      <w:bookmarkEnd w:id="560"/>
    </w:p>
    <w:p w14:paraId="78AA787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不可抗力的确认</w:t>
      </w:r>
    </w:p>
    <w:p w14:paraId="2938A10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除通用合同条款约定的不可抗力事件之外，视为不可抗力的其他情形：</w:t>
      </w:r>
      <w:r>
        <w:rPr>
          <w:rFonts w:hint="eastAsia" w:ascii="宋体" w:hAnsi="宋体" w:eastAsia="宋体" w:cs="宋体"/>
          <w:bCs/>
          <w:color w:val="auto"/>
          <w:kern w:val="0"/>
          <w:sz w:val="21"/>
          <w:szCs w:val="21"/>
          <w:highlight w:val="none"/>
        </w:rPr>
        <w:t>因战争、动乱、空中飞行物体坠落或其他非发包方承包方责任造成的爆炸、火灾，以及自然灾害</w:t>
      </w:r>
      <w:r>
        <w:rPr>
          <w:rFonts w:hint="eastAsia" w:ascii="宋体" w:hAnsi="宋体" w:eastAsia="宋体" w:cs="宋体"/>
          <w:color w:val="auto"/>
          <w:kern w:val="0"/>
          <w:sz w:val="21"/>
          <w:szCs w:val="21"/>
          <w:highlight w:val="none"/>
        </w:rPr>
        <w:t>。</w:t>
      </w:r>
    </w:p>
    <w:p w14:paraId="68E0FCE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500DCCA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567" w:name="_Toc351203650"/>
      <w:r>
        <w:rPr>
          <w:rFonts w:hint="eastAsia" w:ascii="宋体" w:hAnsi="宋体" w:eastAsia="宋体" w:cs="宋体"/>
          <w:color w:val="auto"/>
          <w:sz w:val="21"/>
          <w:szCs w:val="21"/>
          <w:highlight w:val="none"/>
        </w:rPr>
        <w:t>合同解除后，发包人应在商定或确定发包人应支付款项后</w:t>
      </w:r>
      <w:r>
        <w:rPr>
          <w:rFonts w:hint="eastAsia" w:ascii="宋体" w:hAnsi="宋体" w:eastAsia="宋体" w:cs="宋体"/>
          <w:bCs/>
          <w:color w:val="auto"/>
          <w:sz w:val="21"/>
          <w:szCs w:val="21"/>
          <w:highlight w:val="none"/>
          <w:lang w:val="en-US" w:eastAsia="zh-CN"/>
        </w:rPr>
        <w:t>120</w:t>
      </w:r>
      <w:r>
        <w:rPr>
          <w:rFonts w:hint="eastAsia" w:ascii="宋体" w:hAnsi="宋体" w:eastAsia="宋体" w:cs="宋体"/>
          <w:color w:val="auto"/>
          <w:sz w:val="21"/>
          <w:szCs w:val="21"/>
          <w:highlight w:val="none"/>
        </w:rPr>
        <w:t>天内完成款项的支付。</w:t>
      </w:r>
    </w:p>
    <w:p w14:paraId="382EE788">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68" w:name="_Toc51164687"/>
      <w:bookmarkStart w:id="569" w:name="_Toc29459"/>
      <w:r>
        <w:rPr>
          <w:rFonts w:hint="eastAsia" w:ascii="宋体" w:hAnsi="宋体" w:eastAsia="宋体" w:cs="宋体"/>
          <w:b/>
          <w:color w:val="auto"/>
          <w:kern w:val="0"/>
          <w:sz w:val="21"/>
          <w:szCs w:val="21"/>
          <w:highlight w:val="none"/>
          <w:lang w:val="en-US" w:eastAsia="zh-CN" w:bidi="ar-SA"/>
        </w:rPr>
        <w:t>18. 保险</w:t>
      </w:r>
      <w:bookmarkEnd w:id="567"/>
      <w:bookmarkEnd w:id="568"/>
      <w:bookmarkEnd w:id="569"/>
    </w:p>
    <w:bookmarkEnd w:id="561"/>
    <w:p w14:paraId="5EC2828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工程保险</w:t>
      </w:r>
    </w:p>
    <w:p w14:paraId="0A45004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kern w:val="0"/>
          <w:sz w:val="21"/>
          <w:szCs w:val="21"/>
          <w:highlight w:val="none"/>
          <w:u w:val="single"/>
        </w:rPr>
      </w:pPr>
      <w:r>
        <w:rPr>
          <w:rFonts w:hint="eastAsia" w:ascii="宋体" w:hAnsi="宋体" w:eastAsia="宋体" w:cs="宋体"/>
          <w:color w:val="auto"/>
          <w:sz w:val="21"/>
          <w:szCs w:val="21"/>
          <w:highlight w:val="none"/>
        </w:rPr>
        <w:t>关于工程保险的特别约定：</w:t>
      </w:r>
      <w:r>
        <w:rPr>
          <w:rFonts w:hint="eastAsia" w:ascii="宋体" w:hAnsi="宋体" w:eastAsia="宋体" w:cs="宋体"/>
          <w:bCs/>
          <w:color w:val="auto"/>
          <w:kern w:val="0"/>
          <w:sz w:val="21"/>
          <w:szCs w:val="21"/>
          <w:highlight w:val="none"/>
          <w:u w:val="single"/>
        </w:rPr>
        <w:t>1、建筑工程一切险、工商保险及其它险种均由承包人自行投保，其费用包</w:t>
      </w:r>
    </w:p>
    <w:p w14:paraId="63B82DC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kern w:val="0"/>
          <w:sz w:val="21"/>
          <w:szCs w:val="21"/>
          <w:highlight w:val="none"/>
          <w:u w:val="single"/>
        </w:rPr>
        <w:t>括在合同价款中；2、该保险涵盖进入施工现场的所有人员。</w:t>
      </w:r>
    </w:p>
    <w:p w14:paraId="53A98E8B">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 其他保险</w:t>
      </w:r>
    </w:p>
    <w:p w14:paraId="18ED187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w:t>
      </w:r>
    </w:p>
    <w:p w14:paraId="0B1AC81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承包人是否应为其施工设备等办理财产保险：</w:t>
      </w:r>
      <w:r>
        <w:rPr>
          <w:rFonts w:hint="eastAsia" w:ascii="宋体" w:hAnsi="宋体" w:eastAsia="宋体" w:cs="宋体"/>
          <w:bCs/>
          <w:color w:val="auto"/>
          <w:kern w:val="0"/>
          <w:sz w:val="21"/>
          <w:szCs w:val="21"/>
          <w:highlight w:val="none"/>
          <w:u w:val="single"/>
        </w:rPr>
        <w:t>承包人自理</w:t>
      </w:r>
      <w:r>
        <w:rPr>
          <w:rFonts w:hint="eastAsia" w:ascii="宋体" w:hAnsi="宋体" w:eastAsia="宋体" w:cs="宋体"/>
          <w:color w:val="auto"/>
          <w:sz w:val="21"/>
          <w:szCs w:val="21"/>
          <w:highlight w:val="none"/>
          <w:u w:val="single"/>
        </w:rPr>
        <w:t>。</w:t>
      </w:r>
    </w:p>
    <w:p w14:paraId="52215509">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通知义务</w:t>
      </w:r>
    </w:p>
    <w:p w14:paraId="00E49E5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关于变更保险合同时的通知义务的约定：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w:t>
      </w:r>
    </w:p>
    <w:bookmarkEnd w:id="535"/>
    <w:bookmarkEnd w:id="536"/>
    <w:bookmarkEnd w:id="537"/>
    <w:bookmarkEnd w:id="538"/>
    <w:bookmarkEnd w:id="539"/>
    <w:bookmarkEnd w:id="540"/>
    <w:bookmarkEnd w:id="541"/>
    <w:bookmarkEnd w:id="542"/>
    <w:bookmarkEnd w:id="543"/>
    <w:bookmarkEnd w:id="544"/>
    <w:bookmarkEnd w:id="545"/>
    <w:bookmarkEnd w:id="546"/>
    <w:p w14:paraId="1A0A6292">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70" w:name="_Toc28462"/>
      <w:bookmarkStart w:id="571" w:name="_Toc351203651"/>
      <w:bookmarkStart w:id="572" w:name="_Toc51164688"/>
      <w:r>
        <w:rPr>
          <w:rFonts w:hint="eastAsia" w:ascii="宋体" w:hAnsi="宋体" w:eastAsia="宋体" w:cs="宋体"/>
          <w:b/>
          <w:color w:val="auto"/>
          <w:kern w:val="0"/>
          <w:sz w:val="21"/>
          <w:szCs w:val="21"/>
          <w:highlight w:val="none"/>
          <w:lang w:val="en-US" w:eastAsia="zh-CN" w:bidi="ar-SA"/>
        </w:rPr>
        <w:t>20. 争议解决</w:t>
      </w:r>
      <w:bookmarkEnd w:id="570"/>
      <w:bookmarkEnd w:id="571"/>
      <w:bookmarkEnd w:id="572"/>
    </w:p>
    <w:bookmarkEnd w:id="547"/>
    <w:bookmarkEnd w:id="548"/>
    <w:bookmarkEnd w:id="549"/>
    <w:p w14:paraId="7FD990D2">
      <w:pPr>
        <w:pageBreakBefore w:val="0"/>
        <w:widowControl w:val="0"/>
        <w:kinsoku/>
        <w:wordWrap/>
        <w:overflowPunct/>
        <w:topLinePunct w:val="0"/>
        <w:bidi w:val="0"/>
        <w:snapToGrid/>
        <w:spacing w:line="400" w:lineRule="exact"/>
        <w:ind w:left="42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 仲裁或诉讼</w:t>
      </w:r>
      <w:bookmarkEnd w:id="550"/>
    </w:p>
    <w:bookmarkEnd w:id="551"/>
    <w:bookmarkEnd w:id="552"/>
    <w:bookmarkEnd w:id="553"/>
    <w:bookmarkEnd w:id="554"/>
    <w:bookmarkEnd w:id="555"/>
    <w:bookmarkEnd w:id="556"/>
    <w:p w14:paraId="19E4F8A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bCs/>
          <w:color w:val="auto"/>
          <w:sz w:val="21"/>
          <w:szCs w:val="21"/>
          <w:highlight w:val="none"/>
          <w:u w:val="single"/>
        </w:rPr>
        <w:t>（2）</w:t>
      </w:r>
      <w:r>
        <w:rPr>
          <w:rFonts w:hint="eastAsia" w:ascii="宋体" w:hAnsi="宋体" w:eastAsia="宋体" w:cs="宋体"/>
          <w:color w:val="auto"/>
          <w:sz w:val="21"/>
          <w:szCs w:val="21"/>
          <w:highlight w:val="none"/>
        </w:rPr>
        <w:t>种方式解决：</w:t>
      </w:r>
    </w:p>
    <w:p w14:paraId="50D7F45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（1）向仲裁委员会申请仲裁；</w:t>
      </w:r>
    </w:p>
    <w:p w14:paraId="4DB2A44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w:t>
      </w:r>
      <w:r>
        <w:rPr>
          <w:rFonts w:hint="eastAsia" w:ascii="宋体" w:hAnsi="宋体" w:eastAsia="宋体" w:cs="宋体"/>
          <w:bCs/>
          <w:color w:val="auto"/>
          <w:sz w:val="21"/>
          <w:szCs w:val="21"/>
          <w:highlight w:val="none"/>
          <w:u w:val="single"/>
        </w:rPr>
        <w:t>金坛区</w:t>
      </w:r>
      <w:r>
        <w:rPr>
          <w:rFonts w:hint="eastAsia" w:ascii="宋体" w:hAnsi="宋体" w:eastAsia="宋体" w:cs="宋体"/>
          <w:color w:val="auto"/>
          <w:sz w:val="21"/>
          <w:szCs w:val="21"/>
          <w:highlight w:val="none"/>
          <w:u w:val="none"/>
        </w:rPr>
        <w:t>人民</w:t>
      </w:r>
      <w:r>
        <w:rPr>
          <w:rFonts w:hint="eastAsia" w:ascii="宋体" w:hAnsi="宋体" w:eastAsia="宋体" w:cs="宋体"/>
          <w:color w:val="auto"/>
          <w:sz w:val="21"/>
          <w:szCs w:val="21"/>
          <w:highlight w:val="none"/>
        </w:rPr>
        <w:t>法院起诉。</w:t>
      </w:r>
    </w:p>
    <w:p w14:paraId="5A4AC30E">
      <w:pPr>
        <w:pageBreakBefore w:val="0"/>
        <w:widowControl w:val="0"/>
        <w:kinsoku/>
        <w:wordWrap/>
        <w:overflowPunct/>
        <w:topLinePunct w:val="0"/>
        <w:bidi w:val="0"/>
        <w:snapToGrid/>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21.</w:t>
      </w:r>
      <w:r>
        <w:rPr>
          <w:rFonts w:hint="eastAsia" w:ascii="宋体" w:hAnsi="宋体" w:eastAsia="宋体" w:cs="宋体"/>
          <w:b/>
          <w:bCs/>
          <w:color w:val="auto"/>
          <w:sz w:val="21"/>
          <w:szCs w:val="21"/>
          <w:highlight w:val="none"/>
        </w:rPr>
        <w:t>补充条款</w:t>
      </w:r>
    </w:p>
    <w:bookmarkEnd w:id="53"/>
    <w:bookmarkEnd w:id="54"/>
    <w:p w14:paraId="4E3C4D4F">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1）工程开工日期以甲方开工令为准。</w:t>
      </w:r>
    </w:p>
    <w:p w14:paraId="2BDBA916">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2）竣工日期以竣工验收证明上载明的时间为准。</w:t>
      </w:r>
    </w:p>
    <w:p w14:paraId="52B95E7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3）乙方应按相关规定及甲方要求自行完成档案资料的制作，并及时整理、送达竣工资料。</w:t>
      </w:r>
    </w:p>
    <w:p w14:paraId="1752057E">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4）本工程竣工验收合格交付时必须做到工完场清，确保整洁、卫生。</w:t>
      </w:r>
    </w:p>
    <w:p w14:paraId="481FB38D">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14:paraId="3779F585">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6）乙方须服从甲方公司的现场管理制度及处罚规定，服从甲方现场的管理人员、甲方、建装中心、规财科、监理等部门的管理。</w:t>
      </w:r>
    </w:p>
    <w:p w14:paraId="303A54A8">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573" w:name="EB80009068e42d491b96b22fec4208d62f"/>
    </w:p>
    <w:p w14:paraId="3D4272D5">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8）工程施工过程中所有需要在合同价外另行增加的内容，乙方必须无条件服从甲方安排，不得以任何理由拖延施工；所涉及费用在竣工结算时由审计确认。</w:t>
      </w:r>
    </w:p>
    <w:p w14:paraId="52C87209">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9）所有涉及工程过程质量（材料）验收、结算签证等相关手续、资料的报验必须按照学校、监理或者相关规定执行。</w:t>
      </w:r>
      <w:bookmarkEnd w:id="573"/>
    </w:p>
    <w:p w14:paraId="6B6F7D24">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10）承发包双方应严格按照《</w:t>
      </w:r>
      <w:r>
        <w:rPr>
          <w:rFonts w:hint="eastAsia" w:ascii="宋体" w:hAnsi="宋体" w:eastAsia="宋体" w:cs="宋体"/>
          <w:color w:val="auto"/>
          <w:kern w:val="0"/>
          <w:sz w:val="21"/>
          <w:szCs w:val="21"/>
          <w:highlight w:val="none"/>
          <w:u w:val="single"/>
          <w:lang w:eastAsia="zh-CN"/>
        </w:rPr>
        <w:t>中华人民共和国大气污染防治法》《</w:t>
      </w:r>
      <w:r>
        <w:rPr>
          <w:rFonts w:hint="eastAsia" w:ascii="宋体" w:hAnsi="宋体" w:eastAsia="宋体" w:cs="宋体"/>
          <w:color w:val="auto"/>
          <w:kern w:val="0"/>
          <w:sz w:val="21"/>
          <w:szCs w:val="21"/>
          <w:highlight w:val="none"/>
          <w:u w:val="single"/>
        </w:rPr>
        <w:t>江苏省大气污染防治条例</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rPr>
        <w:t>建筑工地扬尘防治标准》（DGJ32/J203-2016）、《常州市建筑施工扬尘防治实施细则》（常建〔2018〕113号）、《关于加强全市建筑领域非道路移动工程机械污染防治工作的通知》（常建〔2018〕132号）等要求，按各自职责，将防治措施落实到位。</w:t>
      </w:r>
    </w:p>
    <w:p w14:paraId="0287BFA1">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11）施工过程中扬尘、噪音控制等需符合相关文件规定，如被相关部门查处并通报，除按规定处罚以外还需向采购人支付2万元/次的违约金。</w:t>
      </w:r>
    </w:p>
    <w:p w14:paraId="277600E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12）建筑垃圾处理执行《常州市金坛区建筑垃圾收集运输和处置管理规定》（详见坛政规</w:t>
      </w:r>
      <w:r>
        <w:rPr>
          <w:rFonts w:hint="eastAsia" w:ascii="宋体" w:hAnsi="宋体" w:eastAsia="宋体" w:cs="宋体"/>
          <w:color w:val="auto"/>
          <w:kern w:val="0"/>
          <w:sz w:val="21"/>
          <w:szCs w:val="21"/>
          <w:highlight w:val="none"/>
          <w:u w:val="single"/>
          <w:lang w:eastAsia="zh-CN"/>
        </w:rPr>
        <w:t>〔2024〕3号</w:t>
      </w:r>
      <w:r>
        <w:rPr>
          <w:rFonts w:hint="eastAsia" w:ascii="宋体" w:hAnsi="宋体" w:eastAsia="宋体" w:cs="宋体"/>
          <w:color w:val="auto"/>
          <w:kern w:val="0"/>
          <w:sz w:val="21"/>
          <w:szCs w:val="21"/>
          <w:highlight w:val="none"/>
          <w:u w:val="single"/>
        </w:rPr>
        <w:t>文）。 施工现场建筑垃圾管理的相关措施须符合《关于进一步加强建筑垃圾管理工作的实施方案》（常政办发〔2024〕17号）文件要求执行。</w:t>
      </w:r>
    </w:p>
    <w:p w14:paraId="6BD25056">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lang w:val="en-US" w:eastAsia="zh-CN"/>
        </w:rPr>
        <w:t>13</w:t>
      </w:r>
      <w:r>
        <w:rPr>
          <w:rFonts w:hint="eastAsia" w:ascii="宋体" w:hAnsi="宋体" w:eastAsia="宋体" w:cs="宋体"/>
          <w:color w:val="auto"/>
          <w:kern w:val="0"/>
          <w:sz w:val="21"/>
          <w:szCs w:val="21"/>
          <w:highlight w:val="none"/>
          <w:u w:val="single"/>
        </w:rPr>
        <w:t>）其他未尽事项，双方另行协商决定。</w:t>
      </w:r>
    </w:p>
    <w:p w14:paraId="21123A4E">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w:t>
      </w:r>
    </w:p>
    <w:p w14:paraId="2DA1E884">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sectPr>
          <w:footerReference r:id="rId6" w:type="first"/>
          <w:footerReference r:id="rId5" w:type="default"/>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32B23E4E">
      <w:pPr>
        <w:spacing w:line="340" w:lineRule="exact"/>
        <w:jc w:val="center"/>
        <w:rPr>
          <w:rFonts w:hint="eastAsia" w:ascii="宋体" w:hAnsi="宋体" w:eastAsia="宋体" w:cs="宋体"/>
          <w:szCs w:val="21"/>
        </w:rPr>
      </w:pPr>
      <w:r>
        <w:rPr>
          <w:rFonts w:hint="eastAsia" w:ascii="宋体" w:hAnsi="宋体" w:eastAsia="宋体" w:cs="宋体"/>
          <w:b/>
          <w:bCs/>
          <w:sz w:val="28"/>
          <w:szCs w:val="28"/>
        </w:rPr>
        <w:t>工程质量保修书</w:t>
      </w:r>
    </w:p>
    <w:p w14:paraId="0304B100">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b w:val="0"/>
          <w:bCs w:val="0"/>
          <w:color w:val="000000"/>
          <w:sz w:val="20"/>
          <w:szCs w:val="20"/>
        </w:rPr>
      </w:pPr>
      <w:r>
        <w:rPr>
          <w:rFonts w:ascii="宋体" w:hAnsi="宋体" w:eastAsia="宋体" w:cs="宋体"/>
          <w:b w:val="0"/>
          <w:bCs w:val="0"/>
          <w:color w:val="000000"/>
          <w:sz w:val="20"/>
          <w:szCs w:val="20"/>
        </w:rPr>
        <w:t xml:space="preserve">发包人（全称）： </w:t>
      </w:r>
    </w:p>
    <w:p w14:paraId="321F0F72">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ascii="宋体" w:hAnsi="宋体" w:eastAsia="宋体" w:cs="宋体"/>
          <w:b w:val="0"/>
          <w:bCs w:val="0"/>
          <w:color w:val="000000"/>
          <w:sz w:val="20"/>
          <w:szCs w:val="20"/>
        </w:rPr>
        <w:t>承包人（全称）：</w:t>
      </w:r>
      <w:r>
        <w:rPr>
          <w:rFonts w:hint="eastAsia" w:ascii="宋体" w:hAnsi="宋体" w:eastAsia="宋体" w:cs="宋体"/>
          <w:szCs w:val="21"/>
        </w:rPr>
        <w:t xml:space="preserve"> </w:t>
      </w:r>
    </w:p>
    <w:p w14:paraId="6EBC3934">
      <w:pPr>
        <w:keepNext w:val="0"/>
        <w:keepLines w:val="0"/>
        <w:pageBreakBefore w:val="0"/>
        <w:widowControl w:val="0"/>
        <w:kinsoku/>
        <w:wordWrap/>
        <w:overflowPunct/>
        <w:topLinePunct w:val="0"/>
        <w:autoSpaceDE/>
        <w:autoSpaceDN/>
        <w:bidi w:val="0"/>
        <w:spacing w:line="480" w:lineRule="exact"/>
        <w:ind w:left="0" w:firstLine="499" w:firstLineChars="238"/>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为保证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（工程名称）在合理使用期限内正常使用，发包人承包人协商一致签订工程质量保修书。承包人在质量保修期内按照有关管理规定及双方约定承担工程质量保修责任。</w:t>
      </w:r>
    </w:p>
    <w:p w14:paraId="53A18793">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一、工程质量保修范围和内容</w:t>
      </w:r>
    </w:p>
    <w:p w14:paraId="798535EA">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质量保修范围包括招标清单内的所有项目。具体质量保修内容双方约定如下：</w:t>
      </w:r>
      <w:r>
        <w:rPr>
          <w:rFonts w:hint="eastAsia" w:ascii="宋体" w:hAnsi="宋体" w:eastAsia="宋体" w:cs="宋体"/>
          <w:color w:val="auto"/>
          <w:kern w:val="0"/>
          <w:sz w:val="21"/>
          <w:szCs w:val="21"/>
          <w:u w:val="single"/>
        </w:rPr>
        <w:t xml:space="preserve"> </w:t>
      </w:r>
      <w:r>
        <w:rPr>
          <w:rFonts w:hint="eastAsia" w:ascii="宋体" w:hAnsi="宋体" w:eastAsia="宋体" w:cs="宋体"/>
          <w:b/>
          <w:color w:val="auto"/>
          <w:kern w:val="0"/>
          <w:sz w:val="21"/>
          <w:szCs w:val="21"/>
          <w:u w:val="single"/>
        </w:rPr>
        <w:t>按现行国家有关法律、法规规定的承包人所有承包范围内项目工程质量缺陷。</w:t>
      </w:r>
      <w:r>
        <w:rPr>
          <w:rFonts w:hint="eastAsia" w:ascii="宋体" w:hAnsi="宋体" w:eastAsia="宋体" w:cs="宋体"/>
          <w:color w:val="auto"/>
          <w:kern w:val="0"/>
          <w:sz w:val="21"/>
          <w:szCs w:val="21"/>
          <w:u w:val="single"/>
        </w:rPr>
        <w:t xml:space="preserve"> </w:t>
      </w:r>
    </w:p>
    <w:p w14:paraId="09EA795A">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二、质量保修期</w:t>
      </w:r>
    </w:p>
    <w:p w14:paraId="59F4E5C9">
      <w:pPr>
        <w:keepNext w:val="0"/>
        <w:keepLines w:val="0"/>
        <w:pageBreakBefore w:val="0"/>
        <w:widowControl w:val="0"/>
        <w:kinsoku/>
        <w:wordWrap/>
        <w:overflowPunct/>
        <w:topLinePunct w:val="0"/>
        <w:autoSpaceDE/>
        <w:autoSpaceDN/>
        <w:bidi w:val="0"/>
        <w:spacing w:line="480" w:lineRule="exact"/>
        <w:ind w:left="0" w:firstLine="29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根据《建设工程质量管理条例》及有关规定，工程的质量保修期如下：</w:t>
      </w:r>
    </w:p>
    <w:p w14:paraId="039DFA75">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1、地基基础工程和主体结构工程为设计文件规定的该工程合理使用年限</w:t>
      </w:r>
    </w:p>
    <w:p w14:paraId="7A1B9B80">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2、屋面防水、有防水要求的卫生间、房间、墙面、厨房防渗漏为5年;</w:t>
      </w:r>
    </w:p>
    <w:p w14:paraId="63D4350E">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3、电气管线、上下水管安装工程为2年;</w:t>
      </w:r>
    </w:p>
    <w:p w14:paraId="2479D38D">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4、供热及制冷为2个采暖期及制冷期;</w:t>
      </w:r>
    </w:p>
    <w:p w14:paraId="40D61F3D">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5、室外的上下水和小区道路等配套工程为2年;</w:t>
      </w:r>
    </w:p>
    <w:p w14:paraId="6C8875F8">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6、装修工程为2年；</w:t>
      </w:r>
    </w:p>
    <w:p w14:paraId="3959FBD0">
      <w:pPr>
        <w:widowControl w:val="0"/>
        <w:spacing w:line="440" w:lineRule="exact"/>
        <w:ind w:left="857" w:leftChars="208" w:hanging="420"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7、市政公用工程为2年；</w:t>
      </w:r>
    </w:p>
    <w:p w14:paraId="56551860">
      <w:pPr>
        <w:widowControl w:val="0"/>
        <w:spacing w:line="440" w:lineRule="exact"/>
        <w:ind w:left="859" w:leftChars="208" w:hanging="422" w:hangingChars="200"/>
        <w:jc w:val="both"/>
        <w:rPr>
          <w:rFonts w:hint="eastAsia" w:ascii="宋体" w:hAnsi="宋体" w:eastAsia="宋体" w:cs="宋体"/>
          <w:color w:val="auto"/>
          <w:kern w:val="0"/>
          <w:sz w:val="21"/>
          <w:szCs w:val="21"/>
          <w:lang w:val="en-US" w:eastAsia="zh-CN" w:bidi="ar-SA"/>
        </w:rPr>
      </w:pPr>
      <w:r>
        <w:rPr>
          <w:rFonts w:hint="eastAsia" w:ascii="宋体" w:hAnsi="宋体" w:eastAsia="宋体" w:cs="宋体"/>
          <w:b/>
          <w:bCs/>
          <w:color w:val="auto"/>
          <w:kern w:val="0"/>
          <w:sz w:val="21"/>
          <w:szCs w:val="21"/>
          <w:lang w:val="en-US" w:eastAsia="zh-CN" w:bidi="ar-SA"/>
        </w:rPr>
        <w:t>本项目</w:t>
      </w:r>
      <w:r>
        <w:rPr>
          <w:rFonts w:hint="eastAsia" w:ascii="宋体" w:hAnsi="宋体" w:eastAsia="宋体" w:cs="宋体"/>
          <w:b/>
          <w:bCs/>
          <w:color w:val="auto"/>
          <w:kern w:val="2"/>
          <w:sz w:val="21"/>
          <w:szCs w:val="21"/>
          <w:lang w:val="en-US" w:eastAsia="zh-CN" w:bidi="ar-SA"/>
        </w:rPr>
        <w:t>质量保修期</w:t>
      </w:r>
      <w:r>
        <w:rPr>
          <w:rFonts w:hint="eastAsia" w:ascii="宋体" w:hAnsi="宋体" w:eastAsia="宋体" w:cs="宋体"/>
          <w:b/>
          <w:bCs/>
          <w:color w:val="auto"/>
          <w:kern w:val="0"/>
          <w:sz w:val="21"/>
          <w:szCs w:val="21"/>
          <w:lang w:val="en-US" w:eastAsia="zh-CN" w:bidi="ar-SA"/>
        </w:rPr>
        <w:t>为2年，从工程竣工验收合格之日算起。</w:t>
      </w:r>
    </w:p>
    <w:p w14:paraId="5548A3A6">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三、质量保修责任</w:t>
      </w:r>
    </w:p>
    <w:p w14:paraId="236212C9">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l、属于保修范围和内容的项目，承包人应在接到修理通知后</w:t>
      </w:r>
      <w:r>
        <w:rPr>
          <w:rFonts w:hint="eastAsia" w:ascii="宋体" w:hAnsi="宋体" w:eastAsia="宋体" w:cs="宋体"/>
          <w:color w:val="auto"/>
          <w:kern w:val="0"/>
          <w:sz w:val="21"/>
          <w:szCs w:val="21"/>
          <w:lang w:val="en-US" w:eastAsia="zh-CN"/>
        </w:rPr>
        <w:t>8小时</w:t>
      </w:r>
      <w:r>
        <w:rPr>
          <w:rFonts w:hint="eastAsia" w:ascii="宋体" w:hAnsi="宋体" w:eastAsia="宋体" w:cs="宋体"/>
          <w:color w:val="auto"/>
          <w:kern w:val="0"/>
          <w:sz w:val="21"/>
          <w:szCs w:val="21"/>
        </w:rPr>
        <w:t>内派人修理。承包人不在约定期限内派人修理，发包人可委托其他人员修理，保修费用从质量保修金内扣除。</w:t>
      </w:r>
    </w:p>
    <w:p w14:paraId="7E03284F">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2、发生须紧急抢修事故，承包人接到事故通知后，应立即到达事故现场抢修。非承包人施工质量引起的事故，抢修费用由发包人承担。</w:t>
      </w:r>
    </w:p>
    <w:p w14:paraId="6FB6ED5C">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3、在国家规定的工程合理使用期限内，承包人确保地基基础工程和主体结构的质量。因承包人原因致使工程在合理使用期限内造成人身和财产损害的，承包人应承担损害赔偿责任。</w:t>
      </w:r>
    </w:p>
    <w:p w14:paraId="0958A02A">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四、质量保修金的支付</w:t>
      </w:r>
    </w:p>
    <w:p w14:paraId="15B23075">
      <w:pPr>
        <w:widowControl w:val="0"/>
        <w:spacing w:line="440" w:lineRule="exact"/>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SA"/>
        </w:rPr>
        <w:t>质量保修金约定：</w:t>
      </w:r>
      <w:r>
        <w:rPr>
          <w:rFonts w:hint="eastAsia" w:ascii="宋体" w:hAnsi="宋体" w:eastAsia="宋体" w:cs="宋体"/>
          <w:color w:val="auto"/>
          <w:kern w:val="0"/>
          <w:sz w:val="21"/>
          <w:szCs w:val="21"/>
          <w:u w:val="single"/>
          <w:lang w:val="en-US" w:eastAsia="zh-CN" w:bidi="ar-SA"/>
        </w:rPr>
        <w:t>质量保修金为审定价的3%；</w:t>
      </w:r>
    </w:p>
    <w:p w14:paraId="622DA686">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五、质量保修金的返还</w:t>
      </w:r>
    </w:p>
    <w:p w14:paraId="7DE4F8EB">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发包人在质量保修期满后将剩余保修金（无息）返还承包人。</w:t>
      </w:r>
    </w:p>
    <w:p w14:paraId="42108D21">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六、其他</w:t>
      </w:r>
    </w:p>
    <w:p w14:paraId="6FA54001">
      <w:pPr>
        <w:keepNext w:val="0"/>
        <w:keepLines w:val="0"/>
        <w:pageBreakBefore w:val="0"/>
        <w:widowControl w:val="0"/>
        <w:kinsoku/>
        <w:wordWrap/>
        <w:overflowPunct/>
        <w:topLinePunct w:val="0"/>
        <w:autoSpaceDE/>
        <w:autoSpaceDN/>
        <w:bidi w:val="0"/>
        <w:spacing w:line="480" w:lineRule="exact"/>
        <w:ind w:left="0" w:firstLine="420" w:firstLineChars="200"/>
        <w:jc w:val="lef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双方约定的其他工程质量保修事项：</w:t>
      </w:r>
      <w:r>
        <w:rPr>
          <w:rFonts w:hint="eastAsia" w:ascii="宋体" w:hAnsi="宋体" w:eastAsia="宋体" w:cs="宋体"/>
          <w:color w:val="auto"/>
          <w:kern w:val="0"/>
          <w:sz w:val="21"/>
          <w:szCs w:val="21"/>
          <w:u w:val="single"/>
        </w:rPr>
        <w:t>建设工程实行质量保证金制度，缺陷责任期内，由乙方原因造成的缺陷，乙方应负责维修，并承担鉴定及维修费用。如乙方不维修也不承担费用，由相关单位组织专业人员进行维修，并由乙方承担违约责任。乙方维修并承担相应费用后，不免除对工程的一般损失赔偿责任。由他人原因造成的缺陷，建设单位负责组织维修，乙方不承担费用。</w:t>
      </w:r>
    </w:p>
    <w:p w14:paraId="3B0D6437">
      <w:pPr>
        <w:keepNext w:val="0"/>
        <w:keepLines w:val="0"/>
        <w:pageBreakBefore w:val="0"/>
        <w:widowControl w:val="0"/>
        <w:kinsoku/>
        <w:wordWrap/>
        <w:overflowPunct/>
        <w:topLinePunct w:val="0"/>
        <w:autoSpaceDE/>
        <w:autoSpaceDN/>
        <w:bidi w:val="0"/>
        <w:spacing w:line="480" w:lineRule="exact"/>
        <w:ind w:firstLine="210" w:firstLineChars="1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七、本工程质量保修书作为施工合同附件</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与施工合同具有同等效力。 </w:t>
      </w:r>
    </w:p>
    <w:p w14:paraId="6226ABEE">
      <w:pPr>
        <w:keepNext w:val="0"/>
        <w:keepLines w:val="0"/>
        <w:pageBreakBefore w:val="0"/>
        <w:widowControl w:val="0"/>
        <w:kinsoku/>
        <w:wordWrap/>
        <w:overflowPunct/>
        <w:topLinePunct w:val="0"/>
        <w:autoSpaceDE/>
        <w:autoSpaceDN/>
        <w:bidi w:val="0"/>
        <w:spacing w:line="480" w:lineRule="exact"/>
        <w:ind w:left="0"/>
        <w:jc w:val="left"/>
        <w:textAlignment w:val="auto"/>
        <w:rPr>
          <w:rFonts w:hint="eastAsia" w:ascii="宋体" w:hAnsi="宋体" w:eastAsia="宋体" w:cs="宋体"/>
          <w:color w:val="auto"/>
          <w:kern w:val="0"/>
          <w:sz w:val="21"/>
          <w:szCs w:val="21"/>
        </w:rPr>
      </w:pPr>
    </w:p>
    <w:p w14:paraId="3E4CAD69">
      <w:pPr>
        <w:keepNext w:val="0"/>
        <w:keepLines w:val="0"/>
        <w:pageBreakBefore w:val="0"/>
        <w:widowControl w:val="0"/>
        <w:kinsoku/>
        <w:wordWrap/>
        <w:overflowPunct/>
        <w:topLinePunct w:val="0"/>
        <w:autoSpaceDE/>
        <w:autoSpaceDN/>
        <w:bidi w:val="0"/>
        <w:snapToGrid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发包人：(公章)                            承包人：(公章)</w:t>
      </w:r>
    </w:p>
    <w:p w14:paraId="76E06A45">
      <w:pPr>
        <w:keepNext w:val="0"/>
        <w:keepLines w:val="0"/>
        <w:pageBreakBefore w:val="0"/>
        <w:widowControl w:val="0"/>
        <w:kinsoku/>
        <w:wordWrap/>
        <w:overflowPunct/>
        <w:topLinePunct w:val="0"/>
        <w:autoSpaceDE/>
        <w:autoSpaceDN/>
        <w:bidi w:val="0"/>
        <w:snapToGrid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地  址：                                  地  址：                                   </w:t>
      </w:r>
    </w:p>
    <w:p w14:paraId="5410A281">
      <w:pPr>
        <w:keepNext w:val="0"/>
        <w:keepLines w:val="0"/>
        <w:pageBreakBefore w:val="0"/>
        <w:widowControl w:val="0"/>
        <w:kinsoku/>
        <w:wordWrap/>
        <w:overflowPunct/>
        <w:topLinePunct w:val="0"/>
        <w:autoSpaceDE/>
        <w:autoSpaceDN/>
        <w:bidi w:val="0"/>
        <w:snapToGrid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法定代表人</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法定代表人</w:t>
      </w:r>
    </w:p>
    <w:p w14:paraId="0D31B48D">
      <w:pPr>
        <w:keepNext w:val="0"/>
        <w:keepLines w:val="0"/>
        <w:pageBreakBefore w:val="0"/>
        <w:widowControl w:val="0"/>
        <w:kinsoku/>
        <w:wordWrap/>
        <w:overflowPunct/>
        <w:topLinePunct w:val="0"/>
        <w:autoSpaceDE/>
        <w:autoSpaceDN/>
        <w:bidi w:val="0"/>
        <w:snapToGrid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或</w:t>
      </w:r>
      <w:r>
        <w:rPr>
          <w:rFonts w:hint="eastAsia" w:ascii="宋体" w:hAnsi="宋体" w:eastAsia="宋体" w:cs="宋体"/>
          <w:color w:val="auto"/>
          <w:kern w:val="0"/>
          <w:sz w:val="21"/>
          <w:szCs w:val="21"/>
        </w:rPr>
        <w:t>委托代理人（签字</w:t>
      </w:r>
      <w:r>
        <w:rPr>
          <w:rFonts w:hint="eastAsia" w:ascii="宋体" w:hAnsi="宋体" w:eastAsia="宋体" w:cs="宋体"/>
          <w:color w:val="auto"/>
          <w:kern w:val="0"/>
          <w:sz w:val="21"/>
          <w:szCs w:val="21"/>
          <w:lang w:val="en-US" w:eastAsia="zh-CN"/>
        </w:rPr>
        <w:t>或盖章</w:t>
      </w:r>
      <w:r>
        <w:rPr>
          <w:rFonts w:hint="eastAsia" w:ascii="宋体" w:hAnsi="宋体" w:eastAsia="宋体" w:cs="宋体"/>
          <w:color w:val="auto"/>
          <w:kern w:val="0"/>
          <w:sz w:val="21"/>
          <w:szCs w:val="21"/>
        </w:rPr>
        <w:t xml:space="preserve">）：              </w:t>
      </w:r>
      <w:r>
        <w:rPr>
          <w:rFonts w:hint="eastAsia" w:ascii="宋体" w:hAnsi="宋体" w:eastAsia="宋体" w:cs="宋体"/>
          <w:color w:val="auto"/>
          <w:kern w:val="0"/>
          <w:sz w:val="21"/>
          <w:szCs w:val="21"/>
          <w:lang w:val="en-US" w:eastAsia="zh-CN"/>
        </w:rPr>
        <w:t>或</w:t>
      </w:r>
      <w:r>
        <w:rPr>
          <w:rFonts w:hint="eastAsia" w:ascii="宋体" w:hAnsi="宋体" w:eastAsia="宋体" w:cs="宋体"/>
          <w:color w:val="auto"/>
          <w:kern w:val="0"/>
          <w:sz w:val="21"/>
          <w:szCs w:val="21"/>
        </w:rPr>
        <w:t>委托代理人（签字</w:t>
      </w:r>
      <w:r>
        <w:rPr>
          <w:rFonts w:hint="eastAsia" w:ascii="宋体" w:hAnsi="宋体" w:eastAsia="宋体" w:cs="宋体"/>
          <w:color w:val="auto"/>
          <w:kern w:val="0"/>
          <w:sz w:val="21"/>
          <w:szCs w:val="21"/>
          <w:lang w:val="en-US" w:eastAsia="zh-CN"/>
        </w:rPr>
        <w:t>或盖章</w:t>
      </w:r>
      <w:r>
        <w:rPr>
          <w:rFonts w:hint="eastAsia" w:ascii="宋体" w:hAnsi="宋体" w:eastAsia="宋体" w:cs="宋体"/>
          <w:color w:val="auto"/>
          <w:kern w:val="0"/>
          <w:sz w:val="21"/>
          <w:szCs w:val="21"/>
        </w:rPr>
        <w:t xml:space="preserve">）：       </w:t>
      </w:r>
    </w:p>
    <w:p w14:paraId="6B703332">
      <w:pPr>
        <w:keepNext w:val="0"/>
        <w:keepLines w:val="0"/>
        <w:pageBreakBefore w:val="0"/>
        <w:widowControl w:val="0"/>
        <w:kinsoku/>
        <w:wordWrap/>
        <w:overflowPunct/>
        <w:topLinePunct w:val="0"/>
        <w:autoSpaceDE/>
        <w:autoSpaceDN/>
        <w:bidi w:val="0"/>
        <w:snapToGrid w:val="0"/>
        <w:spacing w:line="480" w:lineRule="exact"/>
        <w:ind w:lef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电  话：                                  电  话： </w:t>
      </w:r>
    </w:p>
    <w:p w14:paraId="16188589">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14:paraId="6C7B3473">
      <w:pPr>
        <w:adjustRightInd w:val="0"/>
        <w:snapToGrid w:val="0"/>
        <w:spacing w:line="340" w:lineRule="exact"/>
        <w:ind w:firstLine="903" w:firstLineChars="430"/>
        <w:rPr>
          <w:rFonts w:ascii="宋体" w:hAnsi="宋体" w:eastAsia="宋体" w:cs="宋体"/>
          <w:szCs w:val="21"/>
        </w:rPr>
      </w:pPr>
    </w:p>
    <w:p w14:paraId="5C9D80D6">
      <w:pPr>
        <w:adjustRightInd w:val="0"/>
        <w:snapToGrid w:val="0"/>
        <w:spacing w:line="340" w:lineRule="exact"/>
        <w:ind w:firstLine="903" w:firstLineChars="430"/>
        <w:rPr>
          <w:rFonts w:ascii="宋体" w:hAnsi="宋体" w:eastAsia="宋体" w:cs="宋体"/>
          <w:szCs w:val="21"/>
        </w:rPr>
      </w:pPr>
    </w:p>
    <w:p w14:paraId="097216A8">
      <w:pPr>
        <w:adjustRightInd w:val="0"/>
        <w:snapToGrid w:val="0"/>
        <w:spacing w:line="340" w:lineRule="exact"/>
        <w:ind w:firstLine="903" w:firstLineChars="430"/>
        <w:rPr>
          <w:rFonts w:ascii="宋体" w:hAnsi="宋体" w:eastAsia="宋体" w:cs="宋体"/>
          <w:szCs w:val="21"/>
        </w:rPr>
      </w:pPr>
    </w:p>
    <w:p w14:paraId="7C8BF82B">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p>
    <w:p w14:paraId="578F8C98">
      <w:pPr>
        <w:widowControl/>
        <w:autoSpaceDE/>
        <w:autoSpaceDN/>
        <w:adjustRightInd w:val="0"/>
        <w:snapToGrid w:val="0"/>
        <w:spacing w:line="360" w:lineRule="auto"/>
        <w:jc w:val="center"/>
        <w:rPr>
          <w:rFonts w:ascii="宋体" w:hAnsi="宋体" w:eastAsia="宋体" w:cs="宋体"/>
          <w:b/>
          <w:bCs/>
          <w:kern w:val="0"/>
          <w:sz w:val="21"/>
          <w:szCs w:val="21"/>
          <w:lang w:val="zh-CN" w:bidi="zh-CN"/>
        </w:rPr>
      </w:pPr>
      <w:r>
        <w:rPr>
          <w:rFonts w:hint="eastAsia" w:ascii="宋体" w:hAnsi="宋体" w:eastAsia="宋体" w:cs="宋体"/>
          <w:b/>
          <w:bCs/>
          <w:kern w:val="0"/>
          <w:sz w:val="21"/>
          <w:szCs w:val="21"/>
          <w:lang w:val="zh-CN" w:bidi="zh-CN"/>
        </w:rPr>
        <w:t>安全生产目标责任书</w:t>
      </w:r>
    </w:p>
    <w:p w14:paraId="5BF72F2F">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14:paraId="729FC042">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安全生产目标：</w:t>
      </w:r>
    </w:p>
    <w:p w14:paraId="31957139">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轻伤事故率控制在千分之五以下；</w:t>
      </w:r>
    </w:p>
    <w:p w14:paraId="53445397">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重伤和死亡事故起数：0起；</w:t>
      </w:r>
    </w:p>
    <w:p w14:paraId="2A59394B">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火灾事故起数：0起；</w:t>
      </w:r>
    </w:p>
    <w:p w14:paraId="6BB38B6C">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爆炸事故起数：0起；</w:t>
      </w:r>
    </w:p>
    <w:p w14:paraId="21FFEBA1">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高空坠落事故起数：0起；</w:t>
      </w:r>
    </w:p>
    <w:p w14:paraId="579FE83F">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坍塌事故起数：0起；</w:t>
      </w:r>
    </w:p>
    <w:p w14:paraId="1B08EC0F">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机械伤害事故起数：0起；</w:t>
      </w:r>
    </w:p>
    <w:p w14:paraId="6BF7B249">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触电事故起数：0起；</w:t>
      </w:r>
    </w:p>
    <w:p w14:paraId="6A7C01D4">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物体打击事故起数：0起；</w:t>
      </w:r>
    </w:p>
    <w:p w14:paraId="785020AD">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中毒和窒息起数：0起；</w:t>
      </w:r>
    </w:p>
    <w:p w14:paraId="37738E32">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灼烫事故起数：0起；</w:t>
      </w:r>
    </w:p>
    <w:p w14:paraId="0737F5AD">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车辆伤害事故起数：0起；</w:t>
      </w:r>
    </w:p>
    <w:p w14:paraId="411E5BDE">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起重伤害事故起数：0起；</w:t>
      </w:r>
    </w:p>
    <w:p w14:paraId="120CFDF3">
      <w:pPr>
        <w:widowControl/>
        <w:autoSpaceDE/>
        <w:autoSpaceDN/>
        <w:spacing w:line="360" w:lineRule="auto"/>
        <w:ind w:firstLine="555"/>
        <w:jc w:val="left"/>
        <w:rPr>
          <w:rFonts w:ascii="宋体" w:hAnsi="宋体" w:eastAsia="宋体" w:cs="宋体"/>
          <w:b/>
          <w:kern w:val="0"/>
          <w:sz w:val="21"/>
          <w:szCs w:val="21"/>
          <w:lang w:val="zh-CN" w:bidi="zh-CN"/>
        </w:rPr>
      </w:pPr>
      <w:r>
        <w:rPr>
          <w:rFonts w:hint="eastAsia" w:ascii="宋体" w:hAnsi="宋体" w:eastAsia="宋体" w:cs="宋体"/>
          <w:b/>
          <w:kern w:val="0"/>
          <w:sz w:val="21"/>
          <w:szCs w:val="21"/>
          <w:lang w:val="zh-CN" w:bidi="zh-CN"/>
        </w:rPr>
        <w:t>文明施工：</w:t>
      </w:r>
      <w:r>
        <w:rPr>
          <w:rFonts w:hint="eastAsia" w:ascii="宋体" w:hAnsi="宋体" w:eastAsia="宋体" w:cs="宋体"/>
          <w:b/>
          <w:bCs/>
          <w:kern w:val="0"/>
          <w:sz w:val="21"/>
          <w:szCs w:val="21"/>
          <w:lang w:val="zh-CN" w:bidi="zh-CN"/>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2E8F0142">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安全措施：</w:t>
      </w:r>
    </w:p>
    <w:p w14:paraId="227759B9">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力行“谁主管、谁负责”的原则，根据我公司程序文件的要求，要层层签订责任书，形成一个“人人关心安全、事事注意安全、千方百计保证安全”的新局面。</w:t>
      </w:r>
    </w:p>
    <w:p w14:paraId="5E3BAE81">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坚持安全生产例会制度，每月各负责人至少召开一次安全生产会，做到会前有准备，会议有针对性、有记录。</w:t>
      </w:r>
    </w:p>
    <w:p w14:paraId="0BF37EF1">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认真落实各级负责领导及安全管理人员的培训工作和特工种培训工作。加强下属施工队伍的进场教育和班前教育。</w:t>
      </w:r>
    </w:p>
    <w:p w14:paraId="064BC645">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加大安全检查力度，在完成上级部门和学校统一部署的检查任务的同时，要有计划地、有针对性地进行自身的安全生产动态检查与整改。</w:t>
      </w:r>
    </w:p>
    <w:p w14:paraId="54F8B83B">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建立施工现场安全管理体系，按规定配备专职的安全管理人员，特工种必须持证上岗。</w:t>
      </w:r>
    </w:p>
    <w:p w14:paraId="3BBAB98F">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逐步加大安全生产的资金投入，规范配电设施，安全防护用具的使用以及新老设备的更新换代工作。</w:t>
      </w:r>
    </w:p>
    <w:p w14:paraId="1B5EF6C6">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依据市政府、市建委文明施工的达标要求，切实做好现场的文明施工具体工作，真正达到蓝天工程文明施工工地。</w:t>
      </w:r>
    </w:p>
    <w:p w14:paraId="3F128EA9">
      <w:pPr>
        <w:widowControl/>
        <w:autoSpaceDE/>
        <w:autoSpaceDN/>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各负责人要尽职尽责履行安全生产义务，承担安全生产责任。</w:t>
      </w:r>
    </w:p>
    <w:p w14:paraId="3B657FDA">
      <w:pPr>
        <w:widowControl/>
        <w:autoSpaceDE/>
        <w:autoSpaceDN/>
        <w:spacing w:line="360" w:lineRule="auto"/>
        <w:ind w:firstLine="555"/>
        <w:jc w:val="left"/>
        <w:rPr>
          <w:rFonts w:ascii="宋体" w:hAnsi="宋体" w:eastAsia="宋体" w:cs="宋体"/>
          <w:kern w:val="0"/>
          <w:sz w:val="21"/>
          <w:szCs w:val="21"/>
          <w:lang w:val="zh-CN" w:bidi="zh-CN"/>
        </w:rPr>
      </w:pPr>
    </w:p>
    <w:p w14:paraId="14FE28B3">
      <w:pPr>
        <w:widowControl/>
        <w:autoSpaceDE/>
        <w:autoSpaceDN/>
        <w:spacing w:line="360" w:lineRule="auto"/>
        <w:ind w:firstLine="555"/>
        <w:jc w:val="left"/>
        <w:rPr>
          <w:rFonts w:ascii="宋体" w:hAnsi="宋体" w:eastAsia="宋体" w:cs="宋体"/>
          <w:kern w:val="0"/>
          <w:sz w:val="21"/>
          <w:szCs w:val="21"/>
          <w:lang w:val="zh-CN" w:bidi="zh-CN"/>
        </w:rPr>
      </w:pPr>
    </w:p>
    <w:p w14:paraId="0F634E41">
      <w:pPr>
        <w:widowControl/>
        <w:autoSpaceDE/>
        <w:autoSpaceDN/>
        <w:spacing w:line="360" w:lineRule="auto"/>
        <w:ind w:firstLine="3150" w:firstLineChars="1500"/>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　              </w:t>
      </w:r>
      <w:r>
        <w:rPr>
          <w:rFonts w:hint="eastAsia" w:ascii="宋体" w:hAnsi="宋体" w:eastAsia="宋体" w:cs="宋体"/>
          <w:kern w:val="0"/>
          <w:sz w:val="21"/>
          <w:szCs w:val="21"/>
          <w:lang w:val="en-US" w:bidi="zh-CN"/>
        </w:rPr>
        <w:t xml:space="preserve">     </w:t>
      </w:r>
      <w:r>
        <w:rPr>
          <w:rFonts w:hint="eastAsia" w:ascii="宋体" w:hAnsi="宋体" w:eastAsia="宋体" w:cs="宋体"/>
          <w:kern w:val="0"/>
          <w:sz w:val="21"/>
          <w:szCs w:val="21"/>
          <w:lang w:val="zh-CN" w:bidi="zh-CN"/>
        </w:rPr>
        <w:t xml:space="preserve">责任单位： </w:t>
      </w:r>
    </w:p>
    <w:p w14:paraId="559DA23F">
      <w:pPr>
        <w:widowControl/>
        <w:autoSpaceDE/>
        <w:autoSpaceDN/>
        <w:spacing w:line="360" w:lineRule="auto"/>
        <w:ind w:firstLine="555"/>
        <w:jc w:val="left"/>
        <w:rPr>
          <w:rFonts w:ascii="宋体" w:hAnsi="宋体" w:eastAsia="宋体" w:cs="宋体"/>
          <w:kern w:val="0"/>
          <w:sz w:val="21"/>
          <w:szCs w:val="21"/>
          <w:lang w:val="en-US" w:bidi="zh-CN"/>
        </w:rPr>
      </w:pPr>
      <w:r>
        <w:rPr>
          <w:rFonts w:hint="eastAsia" w:ascii="宋体" w:hAnsi="宋体" w:eastAsia="宋体" w:cs="宋体"/>
          <w:kern w:val="0"/>
          <w:sz w:val="21"/>
          <w:szCs w:val="21"/>
          <w:lang w:val="en-US" w:bidi="zh-CN"/>
        </w:rPr>
        <w:t xml:space="preserve">                                             </w:t>
      </w:r>
    </w:p>
    <w:p w14:paraId="7679CBF6">
      <w:pPr>
        <w:widowControl/>
        <w:autoSpaceDE/>
        <w:autoSpaceDN/>
        <w:spacing w:line="360" w:lineRule="auto"/>
        <w:ind w:firstLine="5460" w:firstLineChars="2600"/>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责任人：　</w:t>
      </w:r>
    </w:p>
    <w:p w14:paraId="7BA4045D">
      <w:pPr>
        <w:widowControl/>
        <w:autoSpaceDE/>
        <w:autoSpaceDN/>
        <w:spacing w:line="360" w:lineRule="auto"/>
        <w:ind w:firstLine="555"/>
        <w:jc w:val="left"/>
        <w:rPr>
          <w:rFonts w:ascii="宋体" w:hAnsi="宋体" w:eastAsia="宋体" w:cs="宋体"/>
          <w:kern w:val="0"/>
          <w:sz w:val="21"/>
          <w:szCs w:val="21"/>
          <w:lang w:val="en-US" w:bidi="zh-CN"/>
        </w:rPr>
      </w:pPr>
      <w:r>
        <w:rPr>
          <w:rFonts w:hint="eastAsia" w:ascii="宋体" w:hAnsi="宋体" w:eastAsia="宋体" w:cs="宋体"/>
          <w:kern w:val="0"/>
          <w:sz w:val="21"/>
          <w:szCs w:val="21"/>
          <w:lang w:val="zh-CN" w:bidi="zh-CN"/>
        </w:rPr>
        <w:t xml:space="preserve">          </w:t>
      </w:r>
      <w:r>
        <w:rPr>
          <w:rFonts w:hint="eastAsia" w:ascii="宋体" w:hAnsi="宋体" w:eastAsia="宋体" w:cs="宋体"/>
          <w:kern w:val="0"/>
          <w:sz w:val="21"/>
          <w:szCs w:val="21"/>
          <w:lang w:val="en-US" w:bidi="zh-CN"/>
        </w:rPr>
        <w:t xml:space="preserve">                                   </w:t>
      </w:r>
    </w:p>
    <w:p w14:paraId="6624E84E">
      <w:pPr>
        <w:widowControl/>
        <w:autoSpaceDE/>
        <w:autoSpaceDN/>
        <w:spacing w:line="360" w:lineRule="auto"/>
        <w:jc w:val="righ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法定代表人或</w:t>
      </w:r>
      <w:r>
        <w:rPr>
          <w:rFonts w:hint="eastAsia" w:ascii="宋体" w:hAnsi="宋体" w:eastAsia="宋体" w:cs="宋体"/>
          <w:kern w:val="0"/>
          <w:sz w:val="21"/>
          <w:szCs w:val="21"/>
          <w:lang w:val="zh-CN" w:eastAsia="zh-CN" w:bidi="zh-CN"/>
        </w:rPr>
        <w:t>委托代理人</w:t>
      </w:r>
      <w:r>
        <w:rPr>
          <w:rFonts w:hint="eastAsia" w:ascii="宋体" w:hAnsi="宋体" w:eastAsia="宋体" w:cs="宋体"/>
          <w:kern w:val="0"/>
          <w:sz w:val="21"/>
          <w:szCs w:val="21"/>
          <w:lang w:val="zh-CN" w:bidi="zh-CN"/>
        </w:rPr>
        <w:t>（签字或盖章）：</w:t>
      </w:r>
    </w:p>
    <w:p w14:paraId="5997FBC6">
      <w:pPr>
        <w:widowControl/>
        <w:autoSpaceDE/>
        <w:autoSpaceDN/>
        <w:spacing w:line="360" w:lineRule="auto"/>
        <w:ind w:firstLine="555"/>
        <w:jc w:val="left"/>
        <w:rPr>
          <w:rFonts w:ascii="宋体" w:hAnsi="宋体" w:eastAsia="宋体" w:cs="宋体"/>
          <w:kern w:val="0"/>
          <w:sz w:val="21"/>
          <w:szCs w:val="21"/>
          <w:lang w:val="en-US" w:bidi="zh-CN"/>
        </w:rPr>
      </w:pPr>
      <w:r>
        <w:rPr>
          <w:rFonts w:hint="eastAsia" w:ascii="宋体" w:hAnsi="宋体" w:eastAsia="宋体" w:cs="宋体"/>
          <w:kern w:val="0"/>
          <w:sz w:val="21"/>
          <w:szCs w:val="21"/>
          <w:lang w:val="zh-CN" w:bidi="zh-CN"/>
        </w:rPr>
        <w:t xml:space="preserve">                                    </w:t>
      </w:r>
      <w:r>
        <w:rPr>
          <w:rFonts w:hint="eastAsia" w:ascii="宋体" w:hAnsi="宋体" w:eastAsia="宋体" w:cs="宋体"/>
          <w:kern w:val="0"/>
          <w:sz w:val="21"/>
          <w:szCs w:val="21"/>
          <w:lang w:val="en-US" w:bidi="zh-CN"/>
        </w:rPr>
        <w:t xml:space="preserve">        </w:t>
      </w:r>
      <w:r>
        <w:rPr>
          <w:rFonts w:hint="eastAsia" w:ascii="宋体" w:hAnsi="宋体" w:eastAsia="宋体" w:cs="宋体"/>
          <w:kern w:val="0"/>
          <w:sz w:val="21"/>
          <w:szCs w:val="21"/>
          <w:lang w:val="zh-CN" w:bidi="zh-CN"/>
        </w:rPr>
        <w:t xml:space="preserve"> </w:t>
      </w:r>
      <w:r>
        <w:rPr>
          <w:rFonts w:hint="eastAsia" w:ascii="宋体" w:hAnsi="宋体" w:eastAsia="宋体" w:cs="宋体"/>
          <w:kern w:val="0"/>
          <w:sz w:val="21"/>
          <w:szCs w:val="21"/>
          <w:lang w:val="en-US" w:bidi="zh-CN"/>
        </w:rPr>
        <w:t xml:space="preserve"> </w:t>
      </w:r>
    </w:p>
    <w:p w14:paraId="3C9A641A">
      <w:pPr>
        <w:widowControl/>
        <w:autoSpaceDE/>
        <w:autoSpaceDN/>
        <w:spacing w:line="360" w:lineRule="auto"/>
        <w:ind w:firstLine="5357" w:firstLineChars="2551"/>
        <w:jc w:val="left"/>
        <w:rPr>
          <w:rFonts w:ascii="宋体" w:hAnsi="宋体" w:eastAsia="宋体" w:cs="宋体"/>
          <w:kern w:val="0"/>
          <w:sz w:val="22"/>
          <w:szCs w:val="22"/>
          <w:lang w:val="zh-CN" w:bidi="zh-CN"/>
        </w:rPr>
      </w:pPr>
      <w:r>
        <w:rPr>
          <w:rFonts w:hint="eastAsia" w:ascii="宋体" w:hAnsi="宋体" w:eastAsia="宋体" w:cs="宋体"/>
          <w:kern w:val="0"/>
          <w:sz w:val="21"/>
          <w:szCs w:val="21"/>
          <w:lang w:val="zh-CN" w:bidi="zh-CN"/>
        </w:rPr>
        <w:t>签订日期：     年     月   日</w:t>
      </w:r>
    </w:p>
    <w:p w14:paraId="39119954">
      <w:pPr>
        <w:spacing w:line="360" w:lineRule="auto"/>
        <w:ind w:firstLine="555"/>
        <w:rPr>
          <w:rFonts w:ascii="宋体" w:hAnsi="宋体"/>
        </w:rPr>
      </w:pPr>
    </w:p>
    <w:p w14:paraId="1E07ABC0">
      <w:pPr>
        <w:pStyle w:val="18"/>
        <w:rPr>
          <w:rFonts w:ascii="宋体" w:hAnsi="宋体"/>
        </w:rPr>
      </w:pPr>
    </w:p>
    <w:p w14:paraId="736C02EC">
      <w:pPr>
        <w:pStyle w:val="18"/>
        <w:rPr>
          <w:rFonts w:ascii="宋体" w:hAnsi="宋体"/>
        </w:rPr>
      </w:pPr>
    </w:p>
    <w:p w14:paraId="2F94D025">
      <w:pPr>
        <w:pStyle w:val="18"/>
        <w:rPr>
          <w:rFonts w:ascii="宋体" w:hAnsi="宋体"/>
        </w:rPr>
      </w:pPr>
    </w:p>
    <w:p w14:paraId="1AE3479F">
      <w:pPr>
        <w:pStyle w:val="18"/>
        <w:rPr>
          <w:rFonts w:ascii="宋体" w:hAnsi="宋体"/>
        </w:rPr>
      </w:pPr>
    </w:p>
    <w:p w14:paraId="0821E851">
      <w:pPr>
        <w:pStyle w:val="18"/>
        <w:rPr>
          <w:rFonts w:ascii="宋体" w:hAnsi="宋体"/>
        </w:rPr>
      </w:pPr>
    </w:p>
    <w:p w14:paraId="5C81FD93">
      <w:pPr>
        <w:pStyle w:val="18"/>
        <w:rPr>
          <w:rFonts w:ascii="宋体" w:hAnsi="宋体"/>
        </w:rPr>
      </w:pPr>
    </w:p>
    <w:p w14:paraId="216A536B">
      <w:pPr>
        <w:pStyle w:val="18"/>
        <w:rPr>
          <w:rFonts w:ascii="宋体" w:hAnsi="宋体"/>
        </w:rPr>
      </w:pPr>
    </w:p>
    <w:p w14:paraId="315ECF84">
      <w:pPr>
        <w:pStyle w:val="18"/>
        <w:rPr>
          <w:rFonts w:ascii="宋体" w:hAnsi="宋体"/>
        </w:rPr>
      </w:pPr>
    </w:p>
    <w:p w14:paraId="22116C29">
      <w:pPr>
        <w:pStyle w:val="18"/>
        <w:rPr>
          <w:rFonts w:ascii="宋体" w:hAnsi="宋体"/>
        </w:rPr>
      </w:pPr>
    </w:p>
    <w:p w14:paraId="5441115F">
      <w:pPr>
        <w:pStyle w:val="18"/>
        <w:rPr>
          <w:rFonts w:ascii="宋体" w:hAnsi="宋体"/>
        </w:rPr>
      </w:pPr>
    </w:p>
    <w:p w14:paraId="0BEF8505">
      <w:pPr>
        <w:pStyle w:val="18"/>
        <w:rPr>
          <w:rFonts w:ascii="宋体" w:hAnsi="宋体"/>
        </w:rPr>
      </w:pPr>
    </w:p>
    <w:p w14:paraId="06339B05">
      <w:pPr>
        <w:pStyle w:val="18"/>
        <w:rPr>
          <w:rFonts w:ascii="宋体" w:hAnsi="宋体"/>
        </w:rPr>
      </w:pPr>
    </w:p>
    <w:p w14:paraId="7979B450">
      <w:pPr>
        <w:pStyle w:val="18"/>
        <w:rPr>
          <w:rFonts w:ascii="宋体" w:hAnsi="宋体"/>
        </w:rPr>
      </w:pPr>
    </w:p>
    <w:p w14:paraId="29AB00FB">
      <w:pPr>
        <w:pStyle w:val="18"/>
        <w:rPr>
          <w:rFonts w:ascii="宋体" w:hAnsi="宋体"/>
        </w:rPr>
      </w:pPr>
    </w:p>
    <w:p w14:paraId="0C356638">
      <w:pPr>
        <w:pStyle w:val="18"/>
        <w:rPr>
          <w:rFonts w:ascii="宋体" w:hAnsi="宋体"/>
        </w:rPr>
      </w:pPr>
    </w:p>
    <w:p w14:paraId="5D4D4582">
      <w:pPr>
        <w:pStyle w:val="18"/>
        <w:rPr>
          <w:rFonts w:ascii="宋体" w:hAnsi="宋体"/>
        </w:rPr>
      </w:pPr>
    </w:p>
    <w:p w14:paraId="09360CDD">
      <w:pPr>
        <w:pStyle w:val="18"/>
        <w:rPr>
          <w:rFonts w:ascii="宋体" w:hAnsi="宋体"/>
        </w:rPr>
      </w:pPr>
    </w:p>
    <w:p w14:paraId="674CABBE">
      <w:pPr>
        <w:pStyle w:val="18"/>
        <w:rPr>
          <w:rFonts w:ascii="宋体" w:hAnsi="宋体"/>
        </w:rPr>
      </w:pPr>
    </w:p>
    <w:p w14:paraId="29912EEB">
      <w:pPr>
        <w:pStyle w:val="18"/>
        <w:rPr>
          <w:rFonts w:ascii="宋体" w:hAnsi="宋体"/>
        </w:rPr>
      </w:pPr>
    </w:p>
    <w:p w14:paraId="36481B2D">
      <w:pPr>
        <w:pStyle w:val="18"/>
        <w:rPr>
          <w:rFonts w:ascii="宋体" w:hAnsi="宋体"/>
        </w:rPr>
      </w:pPr>
    </w:p>
    <w:p w14:paraId="5700FE0D">
      <w:pPr>
        <w:pStyle w:val="18"/>
        <w:rPr>
          <w:rFonts w:ascii="宋体" w:hAnsi="宋体"/>
        </w:rPr>
      </w:pPr>
    </w:p>
    <w:p w14:paraId="6C00DA81">
      <w:pPr>
        <w:pStyle w:val="18"/>
        <w:rPr>
          <w:rFonts w:ascii="宋体" w:hAnsi="宋体"/>
        </w:rPr>
      </w:pPr>
    </w:p>
    <w:p w14:paraId="16A29DAC">
      <w:pPr>
        <w:pStyle w:val="18"/>
        <w:rPr>
          <w:rFonts w:ascii="宋体" w:hAnsi="宋体"/>
        </w:rPr>
      </w:pPr>
    </w:p>
    <w:p w14:paraId="6AE960D3">
      <w:pPr>
        <w:pStyle w:val="18"/>
        <w:rPr>
          <w:rFonts w:ascii="宋体" w:hAnsi="宋体"/>
        </w:rPr>
      </w:pPr>
    </w:p>
    <w:p w14:paraId="10196870">
      <w:pPr>
        <w:pStyle w:val="18"/>
        <w:rPr>
          <w:rFonts w:ascii="宋体" w:hAnsi="宋体"/>
        </w:rPr>
      </w:pPr>
    </w:p>
    <w:p w14:paraId="4C3D6AB9">
      <w:pPr>
        <w:pStyle w:val="18"/>
        <w:rPr>
          <w:rFonts w:ascii="宋体" w:hAnsi="宋体"/>
        </w:rPr>
      </w:pPr>
    </w:p>
    <w:p w14:paraId="7D0BC024">
      <w:pPr>
        <w:pStyle w:val="18"/>
        <w:rPr>
          <w:rFonts w:ascii="宋体" w:hAnsi="宋体"/>
        </w:rPr>
      </w:pPr>
    </w:p>
    <w:p w14:paraId="3EA9DD4D">
      <w:pPr>
        <w:pStyle w:val="18"/>
        <w:rPr>
          <w:rFonts w:ascii="宋体" w:hAnsi="宋体"/>
        </w:rPr>
      </w:pPr>
    </w:p>
    <w:p w14:paraId="4375870E">
      <w:pPr>
        <w:pStyle w:val="18"/>
        <w:rPr>
          <w:rFonts w:ascii="宋体" w:hAnsi="宋体"/>
        </w:rPr>
      </w:pPr>
    </w:p>
    <w:p w14:paraId="7430237D">
      <w:pPr>
        <w:pStyle w:val="18"/>
        <w:rPr>
          <w:rFonts w:ascii="宋体" w:hAnsi="宋体"/>
        </w:rPr>
      </w:pPr>
    </w:p>
    <w:p w14:paraId="6958DAF4">
      <w:pPr>
        <w:pStyle w:val="18"/>
        <w:rPr>
          <w:rFonts w:ascii="宋体" w:hAnsi="宋体"/>
        </w:rPr>
      </w:pPr>
    </w:p>
    <w:p w14:paraId="6895D047">
      <w:pPr>
        <w:autoSpaceDE w:val="0"/>
        <w:autoSpaceDN w:val="0"/>
        <w:spacing w:line="360" w:lineRule="auto"/>
        <w:jc w:val="center"/>
        <w:rPr>
          <w:rFonts w:ascii="宋体" w:hAnsi="宋体" w:eastAsia="宋体" w:cs="宋体"/>
          <w:kern w:val="0"/>
          <w:sz w:val="22"/>
          <w:szCs w:val="22"/>
          <w:lang w:val="zh-CN" w:bidi="zh-CN"/>
        </w:rPr>
      </w:pPr>
      <w:r>
        <w:rPr>
          <w:rFonts w:hint="eastAsia" w:ascii="宋体" w:hAnsi="宋体" w:eastAsia="宋体" w:cs="宋体"/>
          <w:b/>
          <w:bCs/>
          <w:kern w:val="0"/>
          <w:sz w:val="21"/>
          <w:szCs w:val="21"/>
          <w:lang w:val="zh-CN" w:bidi="zh-CN"/>
        </w:rPr>
        <w:t>治安、消防承包协议书</w:t>
      </w:r>
    </w:p>
    <w:p w14:paraId="3E7E436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甲方：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2EE3DF3A">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乙方：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23249409">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一、承包工程项目</w:t>
      </w:r>
    </w:p>
    <w:p w14:paraId="28BB7A6A">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工程项目名称：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1C0559C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承包范围：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5422666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承包方式：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2B8509F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二、工程项目期限</w:t>
      </w:r>
    </w:p>
    <w:p w14:paraId="2F7AD508">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满足甲方工程进度要求，根据国家法律法规及常州市有关规定，进一步明确甲、乙双方的治安、消防责任，确保施工、经营安全，甲、乙双方在签订《工程承包合同》的同时，签订本协议，作为附件。</w:t>
      </w:r>
    </w:p>
    <w:p w14:paraId="1E68A960">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经双方平等协商同意，自愿签订本协议书，共同遵守本协议所列条款。</w:t>
      </w:r>
    </w:p>
    <w:p w14:paraId="55C9C4C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三、甲、乙双方治安、消防的共同要求</w:t>
      </w:r>
    </w:p>
    <w:p w14:paraId="7861FE7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1．甲、乙双方认真贯彻执行《中华人民共和国消防法》《建设工程施工现场消防安全技术规范（GB50720-2011）》等其他相关的法律法规，坚持执行“预防为主、防消结合”的方针。</w:t>
      </w:r>
    </w:p>
    <w:p w14:paraId="2D1D7E7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2．甲、乙双方认真落实治安保卫责任制，消防安全责任制，建立健全治保、消防组织，做好本项目治安、防火管理工作，提高自管、自防、自治能力。</w:t>
      </w:r>
    </w:p>
    <w:p w14:paraId="058EB66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3．甲、乙双方认真落实办公室、宿舍、料具间、施工现场、更衣室等场所的治安防范、防火安全措施，妥善保管好现金、贵重物品、料机具等财物，开展经常性的安全检查，及时发现和消除火险隐患，确保安全。 </w:t>
      </w:r>
    </w:p>
    <w:p w14:paraId="285ABCFE">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4．甲、乙双方切实加强对职工的教育管理，做好法制教育工作，加强精神文明建设，增强职工的法制观念、道德观念和治安、防火安全意识，提高职工遵纪守法的自觉性。</w:t>
      </w:r>
    </w:p>
    <w:p w14:paraId="68E1B49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5．甲、乙双方必须坚持“谁主管、谁负责”“谁使用、谁负责”的原则，制定防火岗位责任制，乙方应明确一名分管领导负责施工队的消防安全工作。</w:t>
      </w:r>
    </w:p>
    <w:p w14:paraId="7033A0EC">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四、治安要求</w:t>
      </w:r>
    </w:p>
    <w:p w14:paraId="7136B519">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1．乙方必须确定一人负责检验证件，收集照片，申报暂住证等工作，按规定做到三天内人来即报（报甲方所在地区派出所及甲方），人走即销，登记在册的人员与实际居住人员相符合。</w:t>
      </w:r>
    </w:p>
    <w:p w14:paraId="7FE17712">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2．乙方必须杜绝无法提供有效身份证的人员为本单位职工，严禁擅自容留外来人员，做到有据可查，并与户口登记人员相一致；如甲方查处乙方人员与户口登记不符，由此造成的后果有乙方负责。</w:t>
      </w:r>
    </w:p>
    <w:p w14:paraId="151D6FFA">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3．乙方定期对全体职工进行法制和治安防范宣传教育，并书面记录活动情况，增强职工遵纪守法的观念，预防和减少各类违法犯罪活动。</w:t>
      </w:r>
    </w:p>
    <w:p w14:paraId="6F25033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04E7C3A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5．凡乙方职工违法犯罪，除按国家有关法律法规处理外，造成甲方经济损失的，由乙方赔偿甲方的全部经济损失。</w:t>
      </w:r>
    </w:p>
    <w:p w14:paraId="7354920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6. 乙方必须管理好自己的工人，不得酗酒闹事，打架斗殴，倒卖工地上的任何财物。</w:t>
      </w:r>
    </w:p>
    <w:p w14:paraId="6F7D9C49">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五、消防要求</w:t>
      </w:r>
    </w:p>
    <w:p w14:paraId="0AE86A5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1．甲方负责施工项目消防工作的全面领导及施工现场的消防器材的整体消防安全布置，根据施工现场环境制定消防安全施工方案和安全防范措施。</w:t>
      </w:r>
    </w:p>
    <w:p w14:paraId="33E1DDE0">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2．甲方负责审查乙方的消防施工方案、消防应急预案及消防安全措施等，督促分包单位在施工过程中加以实施。</w:t>
      </w:r>
    </w:p>
    <w:p w14:paraId="58444D8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2DA29E8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4．甲方根据施工部位、环境因素，制定消防措施，负责办理分包单位动火审批手续。</w:t>
      </w:r>
    </w:p>
    <w:p w14:paraId="2C9D55E9">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5．乙方必须服从总包单位消防安全管理，严格执行总包单位各项消防安全管理制度。</w:t>
      </w:r>
    </w:p>
    <w:p w14:paraId="0B0A13E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6．乙方负责本单位消防工作应与施工生产任务同计划、同检查，同布置，在安排生产任务的同时，要履行消防安全责任，落实消防安全措施。</w:t>
      </w:r>
    </w:p>
    <w:p w14:paraId="38DC6CB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7．乙方应建立本单位消防领导小组及义务消防队，认真落实各项消防制度，并按规定向现场施工人员进行防火安全宣传教育，配备消防安全管理人员。</w:t>
      </w:r>
    </w:p>
    <w:p w14:paraId="2C3AAB54">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8．乙方应定期对本单位施工环境进行检查，并落实整改措施，检查记录应报总包单位留存备案。</w:t>
      </w:r>
    </w:p>
    <w:p w14:paraId="726684E9">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9．乙方应经常开展多种形式的消防安全教育，每月定期组织本单位职工召开消防安全教育会议和特殊工种安全教育会议，并有培训记录。</w:t>
      </w:r>
    </w:p>
    <w:p w14:paraId="44552E1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10．乙方必须严格执行各类防火、防爆制度，易燃易爆场所严禁吸烟或动用明火，消防器材不准挪作他用，消防器材前严禁堆物，电焊、气割作业应按规定办理动火手续；严格遵守“十不烧”规定。</w:t>
      </w:r>
    </w:p>
    <w:p w14:paraId="4647224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11.乙方应在自己的施工区域内按照甲方的要求布置灭火器。</w:t>
      </w:r>
    </w:p>
    <w:p w14:paraId="2BCF0CE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12.乙方特种作业必须执行国家《特种作业人员安全技术培训考核管理规定》经省、市地区的特种作业安全技术考核培训后，持证上岗，严禁违章无证操作，由于无证操作造成的事故，一切责任由违约方承担。</w:t>
      </w:r>
    </w:p>
    <w:p w14:paraId="75DFC3E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7BF8149E">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14.施工现场严禁吸烟，木工棚及仓库严禁烟火，并严格执行各类防火、防毒、防冻、防爆措施，悬挂明显的防火安全标识，配备消防器材。</w:t>
      </w:r>
    </w:p>
    <w:p w14:paraId="3DBC1CE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246B99D6">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16.生活区内住宿的人员，必须遵守生活区、宿舍的消防管理规定，不准私自乱接乱拉电线和违章使用大功率电器，不得在床铺上吸烟。</w:t>
      </w:r>
    </w:p>
    <w:p w14:paraId="001070A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17.发生火灾事故时，立即组织人员进行抢救，并同时向总包单位报告，保护好现场，并配合事故调查。</w:t>
      </w:r>
    </w:p>
    <w:p w14:paraId="4A6FD6A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六、本协议规定内容与上级规定相抵触之处，以上级规定为准。</w:t>
      </w:r>
    </w:p>
    <w:p w14:paraId="6C88BADA">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七、本协议未尽事宜，按上级有关规定执行。</w:t>
      </w:r>
    </w:p>
    <w:p w14:paraId="648D3688">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本协议书自签字之日起生效至工程完工终止。                                                                                                                             </w:t>
      </w:r>
    </w:p>
    <w:p w14:paraId="08CBA78D">
      <w:pPr>
        <w:autoSpaceDE w:val="0"/>
        <w:autoSpaceDN w:val="0"/>
        <w:spacing w:line="360" w:lineRule="auto"/>
        <w:ind w:firstLine="555"/>
        <w:jc w:val="left"/>
        <w:rPr>
          <w:rFonts w:ascii="宋体" w:hAnsi="宋体" w:eastAsia="宋体" w:cs="宋体"/>
          <w:kern w:val="0"/>
          <w:sz w:val="21"/>
          <w:szCs w:val="21"/>
          <w:lang w:val="zh-CN" w:bidi="zh-CN"/>
        </w:rPr>
      </w:pPr>
    </w:p>
    <w:p w14:paraId="122CAD14">
      <w:pPr>
        <w:widowControl w:val="0"/>
        <w:autoSpaceDE w:val="0"/>
        <w:autoSpaceDN w:val="0"/>
        <w:ind w:left="442"/>
        <w:outlineLvl w:val="2"/>
        <w:rPr>
          <w:rFonts w:ascii="宋体" w:hAnsi="宋体" w:eastAsia="宋体" w:cs="宋体"/>
          <w:b/>
          <w:bCs/>
          <w:sz w:val="21"/>
          <w:szCs w:val="21"/>
          <w:lang w:val="zh-CN" w:eastAsia="zh-CN" w:bidi="zh-CN"/>
        </w:rPr>
      </w:pPr>
    </w:p>
    <w:p w14:paraId="47874F5A">
      <w:pPr>
        <w:autoSpaceDE w:val="0"/>
        <w:autoSpaceDN w:val="0"/>
        <w:spacing w:line="360" w:lineRule="auto"/>
        <w:ind w:firstLine="630" w:firstLineChars="300"/>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甲方：                                        乙方：                    </w:t>
      </w:r>
    </w:p>
    <w:p w14:paraId="510350BF">
      <w:pPr>
        <w:autoSpaceDE w:val="0"/>
        <w:autoSpaceDN w:val="0"/>
        <w:spacing w:line="360" w:lineRule="auto"/>
        <w:ind w:firstLine="555"/>
        <w:jc w:val="left"/>
        <w:rPr>
          <w:rFonts w:ascii="宋体" w:hAnsi="宋体" w:eastAsia="宋体" w:cs="宋体"/>
          <w:kern w:val="0"/>
          <w:sz w:val="21"/>
          <w:szCs w:val="21"/>
          <w:lang w:val="zh-CN" w:bidi="zh-CN"/>
        </w:rPr>
      </w:pPr>
    </w:p>
    <w:p w14:paraId="09783AD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法定代表人（签字或盖章）：                     法定代表人（签字或盖章）：</w:t>
      </w:r>
      <w:r>
        <w:rPr>
          <w:rFonts w:ascii="宋体" w:hAnsi="宋体" w:eastAsia="宋体" w:cs="宋体"/>
          <w:kern w:val="0"/>
          <w:sz w:val="21"/>
          <w:szCs w:val="21"/>
          <w:lang w:val="zh-CN" w:bidi="zh-CN"/>
        </w:rPr>
        <w:t xml:space="preserve"> </w:t>
      </w:r>
    </w:p>
    <w:p w14:paraId="5441185F">
      <w:pPr>
        <w:autoSpaceDE w:val="0"/>
        <w:autoSpaceDN w:val="0"/>
        <w:spacing w:line="360" w:lineRule="auto"/>
        <w:ind w:firstLine="420" w:firstLineChars="200"/>
        <w:jc w:val="left"/>
        <w:rPr>
          <w:rFonts w:ascii="宋体" w:hAnsi="宋体" w:eastAsia="宋体" w:cs="宋体"/>
          <w:kern w:val="0"/>
          <w:sz w:val="21"/>
          <w:szCs w:val="21"/>
          <w:lang w:val="zh-CN" w:bidi="zh-CN"/>
        </w:rPr>
      </w:pPr>
    </w:p>
    <w:p w14:paraId="6A93F1C3">
      <w:pPr>
        <w:autoSpaceDE w:val="0"/>
        <w:autoSpaceDN w:val="0"/>
        <w:ind w:left="442" w:firstLine="210" w:firstLineChars="100"/>
        <w:jc w:val="both"/>
        <w:rPr>
          <w:rFonts w:ascii="宋体" w:hAnsi="宋体" w:eastAsia="宋体" w:cs="宋体"/>
          <w:b/>
          <w:kern w:val="0"/>
          <w:sz w:val="24"/>
          <w:szCs w:val="22"/>
          <w:lang w:val="zh-CN" w:bidi="zh-CN"/>
        </w:rPr>
      </w:pPr>
      <w:r>
        <w:rPr>
          <w:rFonts w:hint="eastAsia" w:ascii="宋体" w:hAnsi="宋体" w:eastAsia="宋体" w:cs="宋体"/>
          <w:kern w:val="0"/>
          <w:sz w:val="21"/>
          <w:szCs w:val="21"/>
          <w:lang w:val="zh-CN" w:eastAsia="zh-CN" w:bidi="zh-CN"/>
        </w:rPr>
        <w:t>202</w:t>
      </w:r>
      <w:r>
        <w:rPr>
          <w:rFonts w:hint="eastAsia" w:ascii="宋体" w:hAnsi="宋体" w:eastAsia="宋体" w:cs="宋体"/>
          <w:kern w:val="0"/>
          <w:sz w:val="21"/>
          <w:szCs w:val="21"/>
          <w:lang w:val="en-US" w:eastAsia="zh-CN" w:bidi="zh-CN"/>
        </w:rPr>
        <w:t>6</w:t>
      </w:r>
      <w:r>
        <w:rPr>
          <w:rFonts w:hint="eastAsia" w:ascii="宋体" w:hAnsi="宋体" w:eastAsia="宋体" w:cs="宋体"/>
          <w:kern w:val="0"/>
          <w:sz w:val="21"/>
          <w:szCs w:val="21"/>
          <w:lang w:val="zh-CN" w:bidi="zh-CN"/>
        </w:rPr>
        <w:t xml:space="preserve">年    月    日                            </w:t>
      </w:r>
      <w:r>
        <w:rPr>
          <w:rFonts w:hint="eastAsia" w:ascii="宋体" w:hAnsi="宋体" w:eastAsia="宋体" w:cs="宋体"/>
          <w:kern w:val="0"/>
          <w:sz w:val="21"/>
          <w:szCs w:val="21"/>
          <w:lang w:val="zh-CN" w:eastAsia="zh-CN" w:bidi="zh-CN"/>
        </w:rPr>
        <w:t>202</w:t>
      </w:r>
      <w:r>
        <w:rPr>
          <w:rFonts w:hint="eastAsia" w:ascii="宋体" w:hAnsi="宋体" w:eastAsia="宋体" w:cs="宋体"/>
          <w:kern w:val="0"/>
          <w:sz w:val="21"/>
          <w:szCs w:val="21"/>
          <w:lang w:val="en-US" w:eastAsia="zh-CN" w:bidi="zh-CN"/>
        </w:rPr>
        <w:t>6</w:t>
      </w:r>
      <w:r>
        <w:rPr>
          <w:rFonts w:hint="eastAsia" w:ascii="宋体" w:hAnsi="宋体" w:eastAsia="宋体" w:cs="宋体"/>
          <w:kern w:val="0"/>
          <w:sz w:val="21"/>
          <w:szCs w:val="21"/>
          <w:lang w:val="zh-CN" w:bidi="zh-CN"/>
        </w:rPr>
        <w:t>年    月    日</w:t>
      </w:r>
    </w:p>
    <w:p w14:paraId="78AF3B74">
      <w:pPr>
        <w:spacing w:line="360" w:lineRule="auto"/>
        <w:ind w:firstLine="420" w:firstLineChars="200"/>
        <w:rPr>
          <w:rFonts w:ascii="宋体" w:hAnsi="宋体" w:eastAsia="宋体" w:cs="宋体"/>
          <w:szCs w:val="21"/>
        </w:rPr>
      </w:pPr>
    </w:p>
    <w:p w14:paraId="73841642">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eastAsia="zh-CN"/>
        </w:rPr>
        <w:t>、招标最高限价、编制说明</w:t>
      </w:r>
      <w:r>
        <w:rPr>
          <w:rFonts w:hint="eastAsia" w:ascii="宋体" w:hAnsi="宋体" w:eastAsia="宋体" w:cs="宋体"/>
          <w:b/>
          <w:snapToGrid w:val="0"/>
          <w:sz w:val="28"/>
          <w:szCs w:val="28"/>
        </w:rPr>
        <w:t>（另附）</w:t>
      </w:r>
      <w:bookmarkEnd w:id="13"/>
      <w:bookmarkEnd w:id="14"/>
      <w:bookmarkEnd w:id="15"/>
      <w:bookmarkEnd w:id="16"/>
      <w:bookmarkEnd w:id="17"/>
      <w:bookmarkEnd w:id="18"/>
      <w:bookmarkEnd w:id="19"/>
    </w:p>
    <w:p w14:paraId="2121E07F">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bookmarkStart w:id="574" w:name="_Toc7647"/>
      <w:bookmarkStart w:id="575" w:name="_Toc22795"/>
      <w:bookmarkStart w:id="576" w:name="_Toc424397473"/>
      <w:bookmarkStart w:id="577" w:name="_Toc8075"/>
      <w:bookmarkStart w:id="578" w:name="_Toc16321"/>
      <w:bookmarkStart w:id="579" w:name="_Toc25630"/>
      <w:bookmarkStart w:id="580" w:name="_Toc25127"/>
    </w:p>
    <w:p w14:paraId="51401DE9">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13E0F23C">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60C9AC65">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3C7E2756">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1ADBD8B3">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188891FF">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7B1D9102">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6BC5F9C1">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046C2E8A">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02FD2A46">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46CB4143">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417800CF">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01FD0EA3">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40CD7C34">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5302C194">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1083CED6">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51709612">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7363B9A9">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47552231">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6C1DEF43">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5967229B">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366A825D">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0EADA836">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14:paraId="0F09BE43">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574"/>
      <w:bookmarkEnd w:id="575"/>
      <w:bookmarkEnd w:id="576"/>
      <w:bookmarkEnd w:id="577"/>
      <w:bookmarkEnd w:id="578"/>
      <w:bookmarkEnd w:id="579"/>
      <w:bookmarkEnd w:id="580"/>
    </w:p>
    <w:p w14:paraId="0E146DA4">
      <w:pPr>
        <w:pStyle w:val="5"/>
        <w:spacing w:line="360" w:lineRule="auto"/>
        <w:ind w:left="480" w:firstLine="360"/>
        <w:rPr>
          <w:rFonts w:hAnsi="宋体"/>
          <w:b/>
          <w:sz w:val="24"/>
        </w:rPr>
      </w:pPr>
    </w:p>
    <w:p w14:paraId="1DF08566">
      <w:pPr>
        <w:pStyle w:val="5"/>
        <w:spacing w:line="360" w:lineRule="auto"/>
        <w:ind w:left="480" w:firstLine="360"/>
        <w:rPr>
          <w:rFonts w:hAnsi="宋体"/>
          <w:b/>
          <w:sz w:val="24"/>
        </w:rPr>
      </w:pPr>
    </w:p>
    <w:p w14:paraId="3C905C9F">
      <w:pPr>
        <w:pStyle w:val="5"/>
        <w:spacing w:line="360" w:lineRule="auto"/>
        <w:ind w:left="480" w:firstLine="360"/>
        <w:rPr>
          <w:rFonts w:hAnsi="宋体"/>
          <w:b/>
          <w:sz w:val="24"/>
        </w:rPr>
      </w:pPr>
    </w:p>
    <w:p w14:paraId="2F890E03">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常州市金坛新城实验幼儿园岸头佳园分园图书室吊顶修缮工程改造（二次）</w:t>
      </w:r>
    </w:p>
    <w:p w14:paraId="46D9A77E">
      <w:pPr>
        <w:spacing w:line="360" w:lineRule="auto"/>
        <w:jc w:val="center"/>
        <w:rPr>
          <w:rFonts w:ascii="宋体" w:hAnsi="宋体"/>
          <w:b/>
          <w:sz w:val="28"/>
          <w:szCs w:val="28"/>
        </w:rPr>
      </w:pPr>
      <w:r>
        <w:rPr>
          <w:rFonts w:hint="eastAsia" w:ascii="宋体" w:hAnsi="宋体"/>
          <w:b/>
          <w:sz w:val="28"/>
          <w:szCs w:val="28"/>
        </w:rPr>
        <w:t>投 标 文 件</w:t>
      </w:r>
    </w:p>
    <w:p w14:paraId="3B0952E5">
      <w:pPr>
        <w:spacing w:line="360" w:lineRule="auto"/>
        <w:rPr>
          <w:rFonts w:ascii="宋体" w:hAnsi="宋体"/>
          <w:sz w:val="24"/>
        </w:rPr>
      </w:pPr>
    </w:p>
    <w:p w14:paraId="5F08BC67">
      <w:pPr>
        <w:spacing w:line="360" w:lineRule="auto"/>
        <w:rPr>
          <w:rFonts w:ascii="宋体" w:hAnsi="宋体"/>
          <w:sz w:val="24"/>
        </w:rPr>
      </w:pPr>
      <w:r>
        <w:rPr>
          <w:rFonts w:hint="eastAsia" w:ascii="宋体" w:hAnsi="宋体"/>
          <w:sz w:val="24"/>
        </w:rPr>
        <w:t xml:space="preserve">                  </w:t>
      </w:r>
    </w:p>
    <w:p w14:paraId="485792CC">
      <w:pPr>
        <w:spacing w:line="360" w:lineRule="auto"/>
        <w:rPr>
          <w:rFonts w:ascii="宋体" w:hAnsi="宋体"/>
          <w:sz w:val="24"/>
        </w:rPr>
      </w:pPr>
    </w:p>
    <w:p w14:paraId="4136B504">
      <w:pPr>
        <w:spacing w:line="360" w:lineRule="auto"/>
        <w:rPr>
          <w:rFonts w:ascii="宋体" w:hAnsi="宋体"/>
          <w:sz w:val="24"/>
        </w:rPr>
      </w:pPr>
    </w:p>
    <w:p w14:paraId="6F6A7922">
      <w:pPr>
        <w:pStyle w:val="2"/>
      </w:pPr>
    </w:p>
    <w:p w14:paraId="0E47529F">
      <w:pPr>
        <w:spacing w:line="360" w:lineRule="auto"/>
        <w:ind w:firstLine="1500"/>
        <w:rPr>
          <w:rFonts w:ascii="宋体" w:hAnsi="宋体"/>
          <w:sz w:val="24"/>
          <w:u w:val="single"/>
        </w:rPr>
      </w:pPr>
      <w:r>
        <w:rPr>
          <w:rFonts w:hint="eastAsia" w:ascii="宋体" w:hAnsi="宋体"/>
          <w:sz w:val="24"/>
        </w:rPr>
        <w:t xml:space="preserve"> </w:t>
      </w:r>
    </w:p>
    <w:p w14:paraId="65F76C53">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14:paraId="34DFF1F6">
      <w:pPr>
        <w:spacing w:line="360" w:lineRule="auto"/>
        <w:rPr>
          <w:rFonts w:ascii="宋体" w:hAnsi="宋体"/>
          <w:sz w:val="24"/>
        </w:rPr>
      </w:pPr>
    </w:p>
    <w:p w14:paraId="0F754A96">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14:paraId="74852FBE">
      <w:pPr>
        <w:spacing w:line="360" w:lineRule="auto"/>
        <w:ind w:firstLine="1890"/>
        <w:rPr>
          <w:rFonts w:ascii="宋体" w:hAnsi="宋体"/>
          <w:sz w:val="24"/>
          <w:u w:val="single"/>
        </w:rPr>
      </w:pPr>
    </w:p>
    <w:p w14:paraId="5996FD89">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14:paraId="0EE314BD">
      <w:pPr>
        <w:spacing w:line="360" w:lineRule="auto"/>
        <w:ind w:firstLine="1500"/>
        <w:rPr>
          <w:rFonts w:ascii="宋体" w:hAnsi="宋体"/>
          <w:sz w:val="24"/>
        </w:rPr>
      </w:pPr>
    </w:p>
    <w:p w14:paraId="6C577F22">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BDD5DF4">
      <w:pPr>
        <w:tabs>
          <w:tab w:val="left" w:pos="0"/>
          <w:tab w:val="left" w:pos="993"/>
          <w:tab w:val="left" w:pos="1134"/>
        </w:tabs>
        <w:adjustRightInd w:val="0"/>
        <w:snapToGrid w:val="0"/>
        <w:spacing w:line="360" w:lineRule="auto"/>
        <w:jc w:val="center"/>
        <w:rPr>
          <w:rFonts w:ascii="宋体" w:hAnsi="宋体"/>
          <w:b/>
          <w:snapToGrid w:val="0"/>
          <w:sz w:val="24"/>
        </w:rPr>
      </w:pPr>
    </w:p>
    <w:p w14:paraId="48E44973">
      <w:pPr>
        <w:tabs>
          <w:tab w:val="left" w:pos="0"/>
          <w:tab w:val="left" w:pos="993"/>
          <w:tab w:val="left" w:pos="1134"/>
        </w:tabs>
        <w:adjustRightInd w:val="0"/>
        <w:snapToGrid w:val="0"/>
        <w:spacing w:line="360" w:lineRule="auto"/>
        <w:jc w:val="center"/>
        <w:rPr>
          <w:rFonts w:ascii="宋体" w:hAnsi="宋体"/>
          <w:b/>
          <w:snapToGrid w:val="0"/>
          <w:sz w:val="24"/>
        </w:rPr>
      </w:pPr>
    </w:p>
    <w:p w14:paraId="07A4EC9D">
      <w:pPr>
        <w:tabs>
          <w:tab w:val="left" w:pos="0"/>
          <w:tab w:val="left" w:pos="993"/>
          <w:tab w:val="left" w:pos="1134"/>
        </w:tabs>
        <w:adjustRightInd w:val="0"/>
        <w:snapToGrid w:val="0"/>
        <w:spacing w:line="360" w:lineRule="auto"/>
        <w:jc w:val="center"/>
        <w:rPr>
          <w:rFonts w:ascii="宋体" w:hAnsi="宋体"/>
          <w:b/>
          <w:snapToGrid w:val="0"/>
          <w:sz w:val="24"/>
        </w:rPr>
      </w:pPr>
    </w:p>
    <w:p w14:paraId="259FFA24">
      <w:pPr>
        <w:tabs>
          <w:tab w:val="left" w:pos="0"/>
          <w:tab w:val="left" w:pos="993"/>
          <w:tab w:val="left" w:pos="1134"/>
        </w:tabs>
        <w:adjustRightInd w:val="0"/>
        <w:snapToGrid w:val="0"/>
        <w:spacing w:line="360" w:lineRule="auto"/>
        <w:jc w:val="center"/>
        <w:rPr>
          <w:rFonts w:ascii="宋体" w:hAnsi="宋体"/>
          <w:b/>
          <w:snapToGrid w:val="0"/>
          <w:sz w:val="24"/>
        </w:rPr>
      </w:pPr>
    </w:p>
    <w:p w14:paraId="07936D55">
      <w:pPr>
        <w:tabs>
          <w:tab w:val="left" w:pos="0"/>
          <w:tab w:val="left" w:pos="993"/>
          <w:tab w:val="left" w:pos="1134"/>
        </w:tabs>
        <w:adjustRightInd w:val="0"/>
        <w:snapToGrid w:val="0"/>
        <w:spacing w:line="360" w:lineRule="auto"/>
        <w:jc w:val="center"/>
        <w:rPr>
          <w:rFonts w:ascii="宋体" w:hAnsi="宋体"/>
          <w:b/>
          <w:snapToGrid w:val="0"/>
          <w:sz w:val="24"/>
        </w:rPr>
      </w:pPr>
    </w:p>
    <w:p w14:paraId="4BAE1BF5">
      <w:pPr>
        <w:tabs>
          <w:tab w:val="left" w:pos="0"/>
          <w:tab w:val="left" w:pos="993"/>
          <w:tab w:val="left" w:pos="1134"/>
        </w:tabs>
        <w:adjustRightInd w:val="0"/>
        <w:snapToGrid w:val="0"/>
        <w:spacing w:line="360" w:lineRule="auto"/>
        <w:jc w:val="center"/>
        <w:rPr>
          <w:rFonts w:ascii="宋体" w:hAnsi="宋体"/>
          <w:b/>
          <w:snapToGrid w:val="0"/>
          <w:sz w:val="24"/>
        </w:rPr>
      </w:pPr>
    </w:p>
    <w:p w14:paraId="48C97F81">
      <w:pPr>
        <w:tabs>
          <w:tab w:val="left" w:pos="0"/>
          <w:tab w:val="left" w:pos="993"/>
          <w:tab w:val="left" w:pos="1134"/>
        </w:tabs>
        <w:adjustRightInd w:val="0"/>
        <w:snapToGrid w:val="0"/>
        <w:spacing w:line="360" w:lineRule="auto"/>
        <w:jc w:val="center"/>
        <w:rPr>
          <w:rFonts w:ascii="宋体" w:hAnsi="宋体"/>
          <w:b/>
          <w:snapToGrid w:val="0"/>
          <w:sz w:val="24"/>
        </w:rPr>
      </w:pPr>
    </w:p>
    <w:p w14:paraId="4094A530">
      <w:pPr>
        <w:pStyle w:val="4"/>
      </w:pPr>
    </w:p>
    <w:p w14:paraId="0D58E2C3">
      <w:pPr>
        <w:pStyle w:val="2"/>
      </w:pPr>
    </w:p>
    <w:p w14:paraId="2911E126">
      <w:pPr>
        <w:tabs>
          <w:tab w:val="left" w:pos="0"/>
          <w:tab w:val="left" w:pos="993"/>
          <w:tab w:val="left" w:pos="1134"/>
        </w:tabs>
        <w:adjustRightInd w:val="0"/>
        <w:snapToGrid w:val="0"/>
        <w:spacing w:line="360" w:lineRule="auto"/>
        <w:jc w:val="center"/>
        <w:rPr>
          <w:rFonts w:hint="eastAsia" w:ascii="宋体" w:hAnsi="宋体"/>
          <w:b/>
          <w:snapToGrid w:val="0"/>
          <w:sz w:val="24"/>
        </w:rPr>
      </w:pPr>
    </w:p>
    <w:p w14:paraId="44203DD4">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14:paraId="3D4BC596">
      <w:pPr>
        <w:tabs>
          <w:tab w:val="left" w:pos="0"/>
          <w:tab w:val="left" w:pos="993"/>
          <w:tab w:val="left" w:pos="1134"/>
        </w:tabs>
        <w:adjustRightInd w:val="0"/>
        <w:snapToGrid w:val="0"/>
        <w:spacing w:line="360" w:lineRule="auto"/>
        <w:jc w:val="center"/>
        <w:rPr>
          <w:rFonts w:ascii="宋体" w:hAnsi="宋体"/>
          <w:b/>
          <w:snapToGrid w:val="0"/>
          <w:sz w:val="24"/>
        </w:rPr>
      </w:pPr>
    </w:p>
    <w:p w14:paraId="414AA83A">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14:paraId="529EB9F6">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14:paraId="3630E145">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14:paraId="3C6C3F46">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14:paraId="7967FBEE">
      <w:pPr>
        <w:tabs>
          <w:tab w:val="left" w:pos="0"/>
          <w:tab w:val="left" w:pos="993"/>
        </w:tabs>
        <w:adjustRightInd w:val="0"/>
        <w:snapToGrid w:val="0"/>
        <w:spacing w:line="360" w:lineRule="auto"/>
        <w:ind w:firstLine="178" w:firstLineChars="74"/>
        <w:rPr>
          <w:rFonts w:ascii="宋体" w:hAnsi="宋体"/>
          <w:b/>
          <w:bCs/>
          <w:sz w:val="24"/>
        </w:rPr>
      </w:pPr>
    </w:p>
    <w:p w14:paraId="3469CAD3">
      <w:pPr>
        <w:tabs>
          <w:tab w:val="left" w:pos="0"/>
          <w:tab w:val="left" w:pos="993"/>
          <w:tab w:val="left" w:pos="1134"/>
        </w:tabs>
        <w:adjustRightInd w:val="0"/>
        <w:snapToGrid w:val="0"/>
        <w:spacing w:line="360" w:lineRule="auto"/>
        <w:jc w:val="center"/>
        <w:rPr>
          <w:rFonts w:ascii="宋体" w:hAnsi="宋体"/>
          <w:b/>
          <w:snapToGrid w:val="0"/>
          <w:sz w:val="24"/>
        </w:rPr>
      </w:pPr>
    </w:p>
    <w:p w14:paraId="45B25175">
      <w:pPr>
        <w:tabs>
          <w:tab w:val="left" w:pos="0"/>
          <w:tab w:val="left" w:pos="993"/>
          <w:tab w:val="left" w:pos="1134"/>
        </w:tabs>
        <w:adjustRightInd w:val="0"/>
        <w:snapToGrid w:val="0"/>
        <w:spacing w:line="360" w:lineRule="auto"/>
        <w:jc w:val="center"/>
        <w:rPr>
          <w:rFonts w:ascii="宋体" w:hAnsi="宋体"/>
          <w:b/>
          <w:snapToGrid w:val="0"/>
          <w:sz w:val="24"/>
        </w:rPr>
      </w:pPr>
    </w:p>
    <w:p w14:paraId="7A0EA494">
      <w:pPr>
        <w:tabs>
          <w:tab w:val="left" w:pos="0"/>
          <w:tab w:val="left" w:pos="993"/>
          <w:tab w:val="left" w:pos="1134"/>
        </w:tabs>
        <w:adjustRightInd w:val="0"/>
        <w:snapToGrid w:val="0"/>
        <w:spacing w:line="360" w:lineRule="auto"/>
        <w:jc w:val="center"/>
        <w:rPr>
          <w:rFonts w:ascii="宋体" w:hAnsi="宋体"/>
          <w:b/>
          <w:snapToGrid w:val="0"/>
          <w:sz w:val="24"/>
        </w:rPr>
      </w:pPr>
    </w:p>
    <w:p w14:paraId="77E20EF7">
      <w:pPr>
        <w:tabs>
          <w:tab w:val="left" w:pos="0"/>
          <w:tab w:val="left" w:pos="993"/>
          <w:tab w:val="left" w:pos="1134"/>
        </w:tabs>
        <w:adjustRightInd w:val="0"/>
        <w:snapToGrid w:val="0"/>
        <w:spacing w:line="360" w:lineRule="auto"/>
        <w:jc w:val="center"/>
        <w:rPr>
          <w:rFonts w:ascii="宋体" w:hAnsi="宋体"/>
          <w:b/>
          <w:snapToGrid w:val="0"/>
          <w:sz w:val="24"/>
        </w:rPr>
      </w:pPr>
    </w:p>
    <w:p w14:paraId="089C64CB">
      <w:pPr>
        <w:tabs>
          <w:tab w:val="left" w:pos="0"/>
          <w:tab w:val="left" w:pos="993"/>
          <w:tab w:val="left" w:pos="1134"/>
        </w:tabs>
        <w:adjustRightInd w:val="0"/>
        <w:snapToGrid w:val="0"/>
        <w:spacing w:line="360" w:lineRule="auto"/>
        <w:jc w:val="center"/>
        <w:rPr>
          <w:rFonts w:ascii="宋体" w:hAnsi="宋体"/>
          <w:b/>
          <w:snapToGrid w:val="0"/>
          <w:sz w:val="24"/>
        </w:rPr>
      </w:pPr>
    </w:p>
    <w:p w14:paraId="374EE878">
      <w:pPr>
        <w:tabs>
          <w:tab w:val="left" w:pos="0"/>
          <w:tab w:val="left" w:pos="993"/>
          <w:tab w:val="left" w:pos="1134"/>
        </w:tabs>
        <w:adjustRightInd w:val="0"/>
        <w:snapToGrid w:val="0"/>
        <w:spacing w:line="360" w:lineRule="auto"/>
        <w:jc w:val="center"/>
        <w:rPr>
          <w:rFonts w:ascii="宋体" w:hAnsi="宋体"/>
          <w:b/>
          <w:snapToGrid w:val="0"/>
          <w:sz w:val="24"/>
        </w:rPr>
      </w:pPr>
    </w:p>
    <w:p w14:paraId="135AAEF4">
      <w:pPr>
        <w:tabs>
          <w:tab w:val="left" w:pos="0"/>
          <w:tab w:val="left" w:pos="993"/>
          <w:tab w:val="left" w:pos="1134"/>
        </w:tabs>
        <w:adjustRightInd w:val="0"/>
        <w:snapToGrid w:val="0"/>
        <w:spacing w:line="360" w:lineRule="auto"/>
        <w:jc w:val="center"/>
        <w:rPr>
          <w:rFonts w:ascii="宋体" w:hAnsi="宋体"/>
          <w:b/>
          <w:snapToGrid w:val="0"/>
          <w:sz w:val="24"/>
        </w:rPr>
      </w:pPr>
    </w:p>
    <w:p w14:paraId="42C2B086">
      <w:pPr>
        <w:tabs>
          <w:tab w:val="left" w:pos="0"/>
          <w:tab w:val="left" w:pos="993"/>
          <w:tab w:val="left" w:pos="1134"/>
        </w:tabs>
        <w:adjustRightInd w:val="0"/>
        <w:snapToGrid w:val="0"/>
        <w:spacing w:line="360" w:lineRule="auto"/>
        <w:jc w:val="center"/>
        <w:rPr>
          <w:rFonts w:ascii="宋体" w:hAnsi="宋体"/>
          <w:b/>
          <w:snapToGrid w:val="0"/>
          <w:sz w:val="24"/>
        </w:rPr>
      </w:pPr>
    </w:p>
    <w:p w14:paraId="04EE1083">
      <w:pPr>
        <w:tabs>
          <w:tab w:val="left" w:pos="0"/>
          <w:tab w:val="left" w:pos="993"/>
          <w:tab w:val="left" w:pos="1134"/>
        </w:tabs>
        <w:adjustRightInd w:val="0"/>
        <w:snapToGrid w:val="0"/>
        <w:spacing w:line="360" w:lineRule="auto"/>
        <w:jc w:val="center"/>
        <w:rPr>
          <w:rFonts w:ascii="宋体" w:hAnsi="宋体"/>
          <w:b/>
          <w:snapToGrid w:val="0"/>
          <w:sz w:val="24"/>
        </w:rPr>
      </w:pPr>
    </w:p>
    <w:p w14:paraId="04436B80">
      <w:pPr>
        <w:tabs>
          <w:tab w:val="left" w:pos="0"/>
          <w:tab w:val="left" w:pos="993"/>
          <w:tab w:val="left" w:pos="1134"/>
        </w:tabs>
        <w:adjustRightInd w:val="0"/>
        <w:snapToGrid w:val="0"/>
        <w:spacing w:line="360" w:lineRule="auto"/>
        <w:jc w:val="center"/>
        <w:rPr>
          <w:rFonts w:ascii="宋体" w:hAnsi="宋体"/>
          <w:b/>
          <w:snapToGrid w:val="0"/>
          <w:sz w:val="24"/>
        </w:rPr>
      </w:pPr>
    </w:p>
    <w:p w14:paraId="624A795A">
      <w:pPr>
        <w:tabs>
          <w:tab w:val="left" w:pos="0"/>
          <w:tab w:val="left" w:pos="993"/>
          <w:tab w:val="left" w:pos="1134"/>
        </w:tabs>
        <w:adjustRightInd w:val="0"/>
        <w:snapToGrid w:val="0"/>
        <w:spacing w:line="360" w:lineRule="auto"/>
        <w:jc w:val="center"/>
        <w:rPr>
          <w:rFonts w:ascii="宋体" w:hAnsi="宋体"/>
          <w:b/>
          <w:snapToGrid w:val="0"/>
          <w:sz w:val="24"/>
        </w:rPr>
      </w:pPr>
    </w:p>
    <w:p w14:paraId="40FB1EE9">
      <w:pPr>
        <w:tabs>
          <w:tab w:val="left" w:pos="0"/>
          <w:tab w:val="left" w:pos="993"/>
          <w:tab w:val="left" w:pos="1134"/>
        </w:tabs>
        <w:adjustRightInd w:val="0"/>
        <w:snapToGrid w:val="0"/>
        <w:spacing w:line="360" w:lineRule="auto"/>
        <w:jc w:val="center"/>
        <w:rPr>
          <w:rFonts w:ascii="宋体" w:hAnsi="宋体"/>
          <w:b/>
          <w:snapToGrid w:val="0"/>
          <w:sz w:val="24"/>
        </w:rPr>
      </w:pPr>
    </w:p>
    <w:p w14:paraId="6D133162">
      <w:pPr>
        <w:pStyle w:val="6"/>
        <w:spacing w:line="360" w:lineRule="auto"/>
        <w:rPr>
          <w:rFonts w:hAnsi="宋体"/>
          <w:sz w:val="24"/>
        </w:rPr>
      </w:pPr>
    </w:p>
    <w:p w14:paraId="5F07B20D">
      <w:pPr>
        <w:pStyle w:val="6"/>
        <w:spacing w:line="360" w:lineRule="auto"/>
        <w:rPr>
          <w:rFonts w:hAnsi="宋体"/>
          <w:sz w:val="24"/>
        </w:rPr>
      </w:pPr>
    </w:p>
    <w:p w14:paraId="023DCE7A">
      <w:pPr>
        <w:pStyle w:val="6"/>
        <w:spacing w:line="360" w:lineRule="auto"/>
        <w:rPr>
          <w:rFonts w:hAnsi="宋体"/>
          <w:sz w:val="24"/>
        </w:rPr>
      </w:pPr>
    </w:p>
    <w:p w14:paraId="5B600D10">
      <w:pPr>
        <w:pStyle w:val="6"/>
        <w:spacing w:line="360" w:lineRule="auto"/>
        <w:rPr>
          <w:rFonts w:hAnsi="宋体"/>
          <w:sz w:val="24"/>
        </w:rPr>
      </w:pPr>
    </w:p>
    <w:p w14:paraId="30EE432D">
      <w:pPr>
        <w:pStyle w:val="6"/>
        <w:spacing w:line="360" w:lineRule="auto"/>
        <w:rPr>
          <w:rFonts w:hAnsi="宋体"/>
          <w:sz w:val="24"/>
        </w:rPr>
      </w:pPr>
    </w:p>
    <w:p w14:paraId="0586AC26">
      <w:pPr>
        <w:pStyle w:val="6"/>
        <w:spacing w:line="360" w:lineRule="auto"/>
        <w:rPr>
          <w:rFonts w:hAnsi="宋体"/>
          <w:sz w:val="24"/>
        </w:rPr>
      </w:pPr>
    </w:p>
    <w:p w14:paraId="1C4499B0">
      <w:pPr>
        <w:pStyle w:val="6"/>
        <w:spacing w:line="360" w:lineRule="auto"/>
        <w:rPr>
          <w:rFonts w:hAnsi="宋体"/>
          <w:sz w:val="24"/>
        </w:rPr>
      </w:pPr>
    </w:p>
    <w:p w14:paraId="7B5DEB23">
      <w:pPr>
        <w:pStyle w:val="6"/>
        <w:spacing w:line="360" w:lineRule="auto"/>
        <w:rPr>
          <w:rFonts w:hAnsi="宋体"/>
          <w:sz w:val="24"/>
        </w:rPr>
      </w:pPr>
    </w:p>
    <w:p w14:paraId="3F488B46">
      <w:pPr>
        <w:pStyle w:val="6"/>
        <w:spacing w:line="360" w:lineRule="auto"/>
        <w:rPr>
          <w:rFonts w:hAnsi="宋体"/>
          <w:b/>
          <w:bCs/>
          <w:sz w:val="24"/>
        </w:rPr>
      </w:pPr>
      <w:bookmarkStart w:id="581" w:name="_Toc424397474"/>
      <w:bookmarkStart w:id="582" w:name="_Toc29648"/>
      <w:bookmarkStart w:id="583" w:name="_Toc22513"/>
      <w:bookmarkStart w:id="584" w:name="_Toc31232"/>
    </w:p>
    <w:bookmarkEnd w:id="581"/>
    <w:bookmarkEnd w:id="582"/>
    <w:bookmarkEnd w:id="583"/>
    <w:bookmarkEnd w:id="584"/>
    <w:p w14:paraId="1455E469">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14:paraId="0AF16F63">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14:paraId="7208E24E">
      <w:pPr>
        <w:pStyle w:val="11"/>
        <w:spacing w:line="360" w:lineRule="auto"/>
        <w:rPr>
          <w:rFonts w:ascii="宋体" w:hAnsi="宋体" w:eastAsia="宋体"/>
          <w:sz w:val="24"/>
        </w:rPr>
      </w:pPr>
    </w:p>
    <w:p w14:paraId="0C4C8AAC">
      <w:pPr>
        <w:pStyle w:val="11"/>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14:paraId="31B76874">
      <w:pPr>
        <w:pStyle w:val="11"/>
        <w:spacing w:line="360" w:lineRule="auto"/>
        <w:rPr>
          <w:rFonts w:ascii="宋体" w:hAnsi="宋体" w:eastAsia="宋体"/>
          <w:sz w:val="21"/>
          <w:szCs w:val="21"/>
        </w:rPr>
      </w:pPr>
    </w:p>
    <w:p w14:paraId="6105D5FC">
      <w:pPr>
        <w:pStyle w:val="11"/>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14:paraId="15CE06FA">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14:paraId="31E648AC">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14:paraId="68290108">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14:paraId="28F8E0EC">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14:paraId="5136CB07">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14:paraId="3524A846">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14:paraId="2C5E71A4">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14:paraId="4C6C038B">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14:paraId="75490402">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14:paraId="46499171">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14:paraId="567A0242">
      <w:pPr>
        <w:spacing w:line="360" w:lineRule="auto"/>
        <w:ind w:firstLine="420" w:firstLineChars="200"/>
        <w:rPr>
          <w:sz w:val="21"/>
          <w:szCs w:val="24"/>
        </w:rPr>
      </w:pPr>
      <w:r>
        <w:rPr>
          <w:rFonts w:hint="eastAsia"/>
          <w:sz w:val="21"/>
          <w:szCs w:val="24"/>
        </w:rPr>
        <w:t>地   址：</w:t>
      </w:r>
    </w:p>
    <w:p w14:paraId="0E096333">
      <w:pPr>
        <w:spacing w:line="360" w:lineRule="auto"/>
        <w:ind w:firstLine="420" w:firstLineChars="200"/>
        <w:rPr>
          <w:sz w:val="21"/>
          <w:szCs w:val="24"/>
        </w:rPr>
      </w:pPr>
      <w:r>
        <w:rPr>
          <w:rFonts w:hint="eastAsia"/>
          <w:sz w:val="21"/>
          <w:szCs w:val="24"/>
        </w:rPr>
        <w:t>电   话：</w:t>
      </w:r>
    </w:p>
    <w:p w14:paraId="1E3F0F7D">
      <w:pPr>
        <w:spacing w:line="360" w:lineRule="auto"/>
        <w:ind w:firstLine="420" w:firstLineChars="200"/>
        <w:rPr>
          <w:sz w:val="21"/>
          <w:szCs w:val="24"/>
        </w:rPr>
      </w:pPr>
      <w:r>
        <w:rPr>
          <w:rFonts w:hint="eastAsia"/>
          <w:sz w:val="21"/>
          <w:szCs w:val="24"/>
        </w:rPr>
        <w:t>传   真：</w:t>
      </w:r>
    </w:p>
    <w:p w14:paraId="5E6C6179">
      <w:pPr>
        <w:spacing w:line="360" w:lineRule="auto"/>
        <w:ind w:firstLine="420" w:firstLineChars="200"/>
        <w:rPr>
          <w:sz w:val="21"/>
          <w:szCs w:val="24"/>
        </w:rPr>
      </w:pPr>
      <w:r>
        <w:rPr>
          <w:rFonts w:hint="eastAsia"/>
          <w:sz w:val="21"/>
          <w:szCs w:val="24"/>
        </w:rPr>
        <w:t>邮政编码：</w:t>
      </w:r>
    </w:p>
    <w:p w14:paraId="20142A54">
      <w:pPr>
        <w:spacing w:line="360" w:lineRule="auto"/>
        <w:ind w:firstLine="420" w:firstLineChars="200"/>
        <w:rPr>
          <w:sz w:val="21"/>
          <w:szCs w:val="24"/>
        </w:rPr>
      </w:pPr>
      <w:r>
        <w:rPr>
          <w:rFonts w:hint="eastAsia"/>
          <w:sz w:val="21"/>
          <w:szCs w:val="24"/>
        </w:rPr>
        <w:t>承包人：</w:t>
      </w:r>
    </w:p>
    <w:p w14:paraId="449F6562">
      <w:pPr>
        <w:spacing w:line="360" w:lineRule="auto"/>
        <w:ind w:firstLine="420" w:firstLineChars="200"/>
        <w:rPr>
          <w:sz w:val="21"/>
          <w:szCs w:val="24"/>
        </w:rPr>
      </w:pPr>
      <w:r>
        <w:rPr>
          <w:rFonts w:hint="eastAsia"/>
          <w:sz w:val="21"/>
          <w:szCs w:val="24"/>
        </w:rPr>
        <w:t>公   章：</w:t>
      </w:r>
    </w:p>
    <w:p w14:paraId="4F68DAD8">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14:paraId="04DF4ED7">
      <w:pPr>
        <w:spacing w:line="360" w:lineRule="auto"/>
        <w:ind w:firstLine="420" w:firstLineChars="200"/>
        <w:rPr>
          <w:sz w:val="21"/>
          <w:szCs w:val="24"/>
        </w:rPr>
      </w:pPr>
      <w:r>
        <w:rPr>
          <w:rFonts w:hint="eastAsia"/>
          <w:sz w:val="21"/>
          <w:szCs w:val="24"/>
        </w:rPr>
        <w:t>日   期：</w:t>
      </w:r>
    </w:p>
    <w:p w14:paraId="4B857866">
      <w:pPr>
        <w:pStyle w:val="6"/>
        <w:adjustRightInd w:val="0"/>
        <w:snapToGrid w:val="0"/>
        <w:spacing w:line="360" w:lineRule="auto"/>
        <w:jc w:val="center"/>
        <w:rPr>
          <w:rFonts w:hAnsi="宋体"/>
          <w:sz w:val="24"/>
        </w:rPr>
      </w:pPr>
      <w:r>
        <w:rPr>
          <w:rFonts w:hAnsi="宋体"/>
          <w:sz w:val="24"/>
          <w:u w:val="single"/>
        </w:rPr>
        <w:br w:type="page"/>
      </w:r>
      <w:bookmarkStart w:id="585" w:name="_Toc5445"/>
      <w:bookmarkStart w:id="586" w:name="_Toc424397475"/>
      <w:bookmarkStart w:id="587" w:name="_Toc16339"/>
      <w:bookmarkStart w:id="588" w:name="_Toc7509578"/>
      <w:bookmarkStart w:id="589" w:name="_Toc22093"/>
      <w:bookmarkStart w:id="590" w:name="_Toc11354"/>
      <w:r>
        <w:rPr>
          <w:rFonts w:hint="eastAsia" w:hAnsi="宋体"/>
          <w:b/>
          <w:bCs/>
          <w:sz w:val="28"/>
          <w:szCs w:val="28"/>
        </w:rPr>
        <w:t>二、法定代表人资格书</w:t>
      </w:r>
      <w:bookmarkEnd w:id="585"/>
      <w:bookmarkEnd w:id="586"/>
      <w:r>
        <w:rPr>
          <w:rFonts w:hint="eastAsia" w:hAnsi="宋体"/>
          <w:b/>
          <w:bCs/>
          <w:sz w:val="28"/>
          <w:szCs w:val="28"/>
        </w:rPr>
        <w:t>及承诺书</w:t>
      </w:r>
      <w:bookmarkEnd w:id="587"/>
      <w:bookmarkEnd w:id="588"/>
      <w:bookmarkEnd w:id="589"/>
      <w:bookmarkEnd w:id="590"/>
    </w:p>
    <w:p w14:paraId="4F0BF524">
      <w:pPr>
        <w:pStyle w:val="6"/>
        <w:adjustRightInd w:val="0"/>
        <w:snapToGrid w:val="0"/>
        <w:spacing w:line="360" w:lineRule="auto"/>
        <w:ind w:firstLine="420"/>
        <w:rPr>
          <w:rFonts w:hAnsi="宋体"/>
          <w:sz w:val="21"/>
          <w:szCs w:val="21"/>
        </w:rPr>
      </w:pPr>
      <w:r>
        <w:rPr>
          <w:rFonts w:hint="eastAsia" w:hAnsi="宋体"/>
          <w:sz w:val="21"/>
          <w:szCs w:val="21"/>
        </w:rPr>
        <w:t>单位名称：</w:t>
      </w:r>
    </w:p>
    <w:p w14:paraId="318C62A3">
      <w:pPr>
        <w:pStyle w:val="6"/>
        <w:adjustRightInd w:val="0"/>
        <w:snapToGrid w:val="0"/>
        <w:spacing w:line="360" w:lineRule="auto"/>
        <w:ind w:firstLine="420"/>
        <w:rPr>
          <w:rFonts w:hAnsi="宋体"/>
          <w:sz w:val="21"/>
          <w:szCs w:val="21"/>
        </w:rPr>
      </w:pPr>
      <w:r>
        <w:rPr>
          <w:rFonts w:hint="eastAsia" w:hAnsi="宋体"/>
          <w:sz w:val="21"/>
          <w:szCs w:val="21"/>
        </w:rPr>
        <w:t>地址：</w:t>
      </w:r>
    </w:p>
    <w:p w14:paraId="66429CAE">
      <w:pPr>
        <w:pStyle w:val="6"/>
        <w:adjustRightInd w:val="0"/>
        <w:snapToGrid w:val="0"/>
        <w:spacing w:line="360" w:lineRule="auto"/>
        <w:ind w:firstLine="420"/>
        <w:rPr>
          <w:rFonts w:hAnsi="宋体"/>
          <w:sz w:val="21"/>
          <w:szCs w:val="21"/>
        </w:rPr>
      </w:pPr>
      <w:r>
        <w:rPr>
          <w:rFonts w:hint="eastAsia" w:hAnsi="宋体"/>
          <w:sz w:val="21"/>
          <w:szCs w:val="21"/>
        </w:rPr>
        <w:t>姓名：             性别：          年龄：          职务：</w:t>
      </w:r>
    </w:p>
    <w:p w14:paraId="37BF41C4">
      <w:pPr>
        <w:pStyle w:val="6"/>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14:paraId="0CD5A7F5">
      <w:pPr>
        <w:pStyle w:val="6"/>
        <w:adjustRightInd w:val="0"/>
        <w:snapToGrid w:val="0"/>
        <w:spacing w:line="360" w:lineRule="auto"/>
        <w:rPr>
          <w:rFonts w:hAnsi="宋体"/>
          <w:sz w:val="21"/>
          <w:szCs w:val="21"/>
        </w:rPr>
      </w:pPr>
    </w:p>
    <w:p w14:paraId="5068BD50">
      <w:pPr>
        <w:pStyle w:val="6"/>
        <w:adjustRightInd w:val="0"/>
        <w:snapToGrid w:val="0"/>
        <w:spacing w:line="360" w:lineRule="auto"/>
        <w:ind w:firstLine="420"/>
        <w:rPr>
          <w:rFonts w:hAnsi="宋体"/>
          <w:sz w:val="21"/>
          <w:szCs w:val="21"/>
        </w:rPr>
      </w:pPr>
      <w:r>
        <w:rPr>
          <w:rFonts w:hint="eastAsia" w:hAnsi="宋体"/>
          <w:sz w:val="21"/>
          <w:szCs w:val="21"/>
        </w:rPr>
        <w:t>特此证明。</w:t>
      </w:r>
    </w:p>
    <w:p w14:paraId="11CACE6F">
      <w:pPr>
        <w:pStyle w:val="6"/>
        <w:adjustRightInd w:val="0"/>
        <w:snapToGrid w:val="0"/>
        <w:spacing w:line="360" w:lineRule="auto"/>
        <w:jc w:val="center"/>
        <w:rPr>
          <w:rFonts w:hAnsi="宋体"/>
          <w:sz w:val="21"/>
          <w:szCs w:val="21"/>
        </w:rPr>
      </w:pPr>
      <w:r>
        <w:rPr>
          <w:rFonts w:hint="eastAsia" w:hAnsi="宋体"/>
          <w:sz w:val="21"/>
          <w:szCs w:val="21"/>
        </w:rPr>
        <w:t xml:space="preserve">                                 承包人：(盖章)</w:t>
      </w:r>
    </w:p>
    <w:p w14:paraId="29ABBE22">
      <w:pPr>
        <w:pStyle w:val="6"/>
        <w:adjustRightInd w:val="0"/>
        <w:snapToGrid w:val="0"/>
        <w:spacing w:line="360" w:lineRule="auto"/>
        <w:rPr>
          <w:rFonts w:hAnsi="宋体"/>
          <w:sz w:val="21"/>
          <w:szCs w:val="21"/>
        </w:rPr>
      </w:pPr>
    </w:p>
    <w:p w14:paraId="718CD3B3">
      <w:pPr>
        <w:pStyle w:val="6"/>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62917BE8">
      <w:pPr>
        <w:pStyle w:val="6"/>
        <w:adjustRightInd w:val="0"/>
        <w:snapToGrid w:val="0"/>
        <w:spacing w:line="360" w:lineRule="auto"/>
        <w:rPr>
          <w:rFonts w:hAnsi="宋体"/>
          <w:sz w:val="21"/>
          <w:szCs w:val="21"/>
        </w:rPr>
      </w:pPr>
    </w:p>
    <w:p w14:paraId="78F5CE89">
      <w:pPr>
        <w:jc w:val="center"/>
        <w:rPr>
          <w:rFonts w:hint="eastAsia" w:ascii="宋体" w:hAnsi="宋体"/>
          <w:b w:val="0"/>
          <w:bCs/>
          <w:sz w:val="22"/>
          <w:szCs w:val="22"/>
          <w:lang w:val="en-US" w:eastAsia="zh-CN"/>
        </w:rPr>
      </w:pPr>
    </w:p>
    <w:p w14:paraId="4A2BB1FC">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91" w:name="_Toc25746"/>
      <w:r>
        <w:rPr>
          <w:rFonts w:hint="eastAsia" w:ascii="宋体" w:hAnsi="宋体"/>
          <w:b/>
          <w:sz w:val="28"/>
          <w:szCs w:val="28"/>
        </w:rPr>
        <w:t>投标承诺书</w:t>
      </w:r>
      <w:bookmarkEnd w:id="591"/>
    </w:p>
    <w:p w14:paraId="14438541">
      <w:pPr>
        <w:jc w:val="center"/>
        <w:rPr>
          <w:rFonts w:ascii="宋体" w:hAnsi="宋体"/>
          <w:b/>
          <w:sz w:val="28"/>
          <w:szCs w:val="28"/>
        </w:rPr>
      </w:pPr>
    </w:p>
    <w:p w14:paraId="44A7F0D4">
      <w:pPr>
        <w:jc w:val="center"/>
        <w:rPr>
          <w:rFonts w:ascii="宋体" w:hAnsi="宋体"/>
          <w:b/>
          <w:sz w:val="21"/>
          <w:szCs w:val="21"/>
        </w:rPr>
      </w:pPr>
    </w:p>
    <w:p w14:paraId="716EB0D4">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14:paraId="0207D085">
      <w:pPr>
        <w:rPr>
          <w:rFonts w:ascii="宋体" w:hAnsi="宋体" w:cs="宋体"/>
          <w:b/>
          <w:sz w:val="21"/>
          <w:szCs w:val="21"/>
        </w:rPr>
      </w:pPr>
      <w:r>
        <w:rPr>
          <w:rFonts w:hint="eastAsia" w:ascii="宋体" w:hAnsi="宋体" w:cs="宋体"/>
          <w:b/>
          <w:sz w:val="21"/>
          <w:szCs w:val="21"/>
        </w:rPr>
        <w:t xml:space="preserve">     </w:t>
      </w:r>
    </w:p>
    <w:p w14:paraId="6DCFA1BB">
      <w:pPr>
        <w:rPr>
          <w:rFonts w:ascii="宋体" w:hAnsi="宋体" w:cs="宋体"/>
          <w:b/>
          <w:sz w:val="21"/>
          <w:szCs w:val="21"/>
        </w:rPr>
      </w:pPr>
      <w:r>
        <w:rPr>
          <w:rFonts w:hint="eastAsia" w:ascii="宋体" w:hAnsi="宋体" w:cs="宋体"/>
          <w:b/>
          <w:sz w:val="21"/>
          <w:szCs w:val="21"/>
        </w:rPr>
        <w:t xml:space="preserve">  郑重声明：</w:t>
      </w:r>
    </w:p>
    <w:p w14:paraId="36C6A06D">
      <w:pPr>
        <w:spacing w:line="360" w:lineRule="auto"/>
        <w:ind w:firstLine="411" w:firstLineChars="196"/>
        <w:rPr>
          <w:rFonts w:ascii="宋体" w:hAnsi="宋体" w:cs="宋体"/>
          <w:bCs/>
          <w:sz w:val="21"/>
          <w:szCs w:val="21"/>
        </w:rPr>
      </w:pPr>
    </w:p>
    <w:p w14:paraId="19D44CF2">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14:paraId="4E197011">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等相关文件、法律、法规、规章。如有违反上述文件的相关条款，本单位愿接受本项目招标人、建设行政主管部门、其他相关部门依据上述文件作出的处理。</w:t>
      </w:r>
    </w:p>
    <w:p w14:paraId="1D72FEF5">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14:paraId="20835908">
      <w:pPr>
        <w:spacing w:line="360" w:lineRule="auto"/>
        <w:ind w:firstLine="411" w:firstLineChars="196"/>
        <w:rPr>
          <w:rFonts w:ascii="宋体" w:hAnsi="宋体" w:cs="宋体"/>
          <w:sz w:val="21"/>
          <w:szCs w:val="21"/>
        </w:rPr>
      </w:pPr>
    </w:p>
    <w:p w14:paraId="2BA84691">
      <w:pPr>
        <w:spacing w:line="360" w:lineRule="auto"/>
        <w:ind w:firstLine="411" w:firstLineChars="196"/>
        <w:rPr>
          <w:rFonts w:ascii="宋体" w:hAnsi="宋体" w:cs="宋体"/>
          <w:sz w:val="21"/>
          <w:szCs w:val="21"/>
        </w:rPr>
      </w:pPr>
      <w:r>
        <w:rPr>
          <w:rFonts w:hint="eastAsia" w:ascii="宋体" w:hAnsi="宋体" w:cs="宋体"/>
          <w:sz w:val="21"/>
          <w:szCs w:val="21"/>
        </w:rPr>
        <w:t>公  章：</w:t>
      </w:r>
    </w:p>
    <w:p w14:paraId="399E7692">
      <w:pPr>
        <w:spacing w:line="360" w:lineRule="auto"/>
        <w:ind w:firstLine="411" w:firstLineChars="196"/>
        <w:rPr>
          <w:rFonts w:ascii="宋体" w:hAnsi="宋体" w:cs="宋体"/>
          <w:sz w:val="21"/>
          <w:szCs w:val="21"/>
        </w:rPr>
      </w:pPr>
    </w:p>
    <w:p w14:paraId="5E1A5BE2">
      <w:pPr>
        <w:spacing w:line="360" w:lineRule="auto"/>
        <w:ind w:firstLine="411" w:firstLineChars="196"/>
        <w:rPr>
          <w:rFonts w:ascii="宋体" w:hAnsi="宋体" w:cs="宋体"/>
          <w:sz w:val="21"/>
          <w:szCs w:val="21"/>
        </w:rPr>
      </w:pPr>
    </w:p>
    <w:p w14:paraId="4FCED9C4">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14:paraId="47EE3300">
      <w:pPr>
        <w:spacing w:line="360" w:lineRule="auto"/>
        <w:ind w:firstLine="420" w:firstLineChars="200"/>
        <w:rPr>
          <w:rFonts w:ascii="宋体" w:hAnsi="宋体" w:cs="宋体"/>
          <w:sz w:val="21"/>
          <w:szCs w:val="21"/>
        </w:rPr>
      </w:pPr>
    </w:p>
    <w:p w14:paraId="57C7C44C">
      <w:pPr>
        <w:spacing w:line="360" w:lineRule="auto"/>
        <w:ind w:firstLine="420" w:firstLineChars="200"/>
        <w:rPr>
          <w:rFonts w:ascii="宋体" w:hAnsi="宋体" w:cs="宋体"/>
          <w:sz w:val="21"/>
          <w:szCs w:val="21"/>
        </w:rPr>
      </w:pPr>
    </w:p>
    <w:p w14:paraId="797D79E0">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14:paraId="31A30CAE">
      <w:pPr>
        <w:pStyle w:val="6"/>
        <w:adjustRightInd w:val="0"/>
        <w:snapToGrid w:val="0"/>
        <w:spacing w:line="360" w:lineRule="auto"/>
        <w:jc w:val="center"/>
        <w:rPr>
          <w:rFonts w:hAnsi="宋体"/>
          <w:sz w:val="24"/>
        </w:rPr>
      </w:pPr>
    </w:p>
    <w:p w14:paraId="0A6941D2">
      <w:pPr>
        <w:pStyle w:val="6"/>
        <w:adjustRightInd w:val="0"/>
        <w:snapToGrid w:val="0"/>
        <w:spacing w:line="360" w:lineRule="auto"/>
        <w:rPr>
          <w:rFonts w:hAnsi="宋体"/>
          <w:sz w:val="24"/>
        </w:rPr>
      </w:pPr>
    </w:p>
    <w:p w14:paraId="3A3AE425">
      <w:pPr>
        <w:pStyle w:val="6"/>
        <w:adjustRightInd w:val="0"/>
        <w:snapToGrid w:val="0"/>
        <w:spacing w:line="360" w:lineRule="auto"/>
        <w:rPr>
          <w:rFonts w:hAnsi="宋体"/>
          <w:sz w:val="24"/>
        </w:rPr>
      </w:pPr>
    </w:p>
    <w:p w14:paraId="56AE20CD">
      <w:pPr>
        <w:pStyle w:val="6"/>
        <w:adjustRightInd w:val="0"/>
        <w:snapToGrid w:val="0"/>
        <w:spacing w:line="360" w:lineRule="auto"/>
        <w:ind w:firstLine="3840"/>
        <w:rPr>
          <w:rFonts w:hAnsi="宋体"/>
          <w:sz w:val="24"/>
        </w:rPr>
      </w:pPr>
      <w:bookmarkStart w:id="592" w:name="_Toc424397476"/>
      <w:bookmarkStart w:id="593" w:name="_Toc4433"/>
    </w:p>
    <w:p w14:paraId="5D69A4D9">
      <w:pPr>
        <w:pStyle w:val="6"/>
        <w:adjustRightInd w:val="0"/>
        <w:snapToGrid w:val="0"/>
        <w:spacing w:line="360" w:lineRule="auto"/>
        <w:jc w:val="center"/>
        <w:rPr>
          <w:rFonts w:hAnsi="宋体"/>
          <w:sz w:val="24"/>
        </w:rPr>
      </w:pPr>
      <w:bookmarkStart w:id="594" w:name="_Toc524"/>
      <w:bookmarkStart w:id="595" w:name="_Toc24327"/>
      <w:r>
        <w:rPr>
          <w:rFonts w:hint="eastAsia" w:hAnsi="宋体"/>
          <w:sz w:val="24"/>
        </w:rPr>
        <w:br w:type="page"/>
      </w:r>
      <w:bookmarkStart w:id="596" w:name="_Toc11543"/>
      <w:bookmarkStart w:id="597" w:name="_Toc7838"/>
      <w:bookmarkStart w:id="598" w:name="_Toc7509579"/>
      <w:r>
        <w:rPr>
          <w:rFonts w:hint="eastAsia" w:hAnsi="宋体"/>
          <w:b/>
          <w:bCs/>
          <w:sz w:val="28"/>
          <w:szCs w:val="28"/>
        </w:rPr>
        <w:t>三、授权委托书</w:t>
      </w:r>
      <w:bookmarkEnd w:id="592"/>
      <w:bookmarkEnd w:id="593"/>
      <w:bookmarkEnd w:id="594"/>
      <w:bookmarkEnd w:id="595"/>
      <w:bookmarkEnd w:id="596"/>
      <w:bookmarkEnd w:id="597"/>
      <w:bookmarkEnd w:id="598"/>
    </w:p>
    <w:p w14:paraId="0A4ED049">
      <w:pPr>
        <w:pStyle w:val="6"/>
        <w:adjustRightInd w:val="0"/>
        <w:snapToGrid w:val="0"/>
        <w:spacing w:line="360" w:lineRule="auto"/>
        <w:rPr>
          <w:rFonts w:hAnsi="宋体"/>
          <w:sz w:val="21"/>
          <w:szCs w:val="21"/>
        </w:rPr>
      </w:pPr>
    </w:p>
    <w:p w14:paraId="0CB3986B">
      <w:pPr>
        <w:pStyle w:val="6"/>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14:paraId="051863FB">
      <w:pPr>
        <w:pStyle w:val="6"/>
        <w:adjustRightInd w:val="0"/>
        <w:snapToGrid w:val="0"/>
        <w:spacing w:line="360" w:lineRule="auto"/>
        <w:rPr>
          <w:rFonts w:hAnsi="宋体"/>
          <w:sz w:val="21"/>
          <w:szCs w:val="21"/>
        </w:rPr>
      </w:pPr>
    </w:p>
    <w:p w14:paraId="0BA1A61A">
      <w:pPr>
        <w:pStyle w:val="6"/>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14:paraId="6A9AC9E9">
      <w:pPr>
        <w:pStyle w:val="6"/>
        <w:adjustRightInd w:val="0"/>
        <w:snapToGrid w:val="0"/>
        <w:spacing w:line="360" w:lineRule="auto"/>
        <w:ind w:firstLine="420"/>
        <w:rPr>
          <w:rFonts w:hAnsi="宋体"/>
          <w:sz w:val="21"/>
          <w:szCs w:val="21"/>
        </w:rPr>
      </w:pPr>
      <w:r>
        <w:rPr>
          <w:rFonts w:hint="eastAsia" w:hAnsi="宋体"/>
          <w:sz w:val="21"/>
          <w:szCs w:val="21"/>
        </w:rPr>
        <w:t>单位：               部门：               职务：</w:t>
      </w:r>
    </w:p>
    <w:p w14:paraId="5468A050">
      <w:pPr>
        <w:pStyle w:val="6"/>
        <w:adjustRightInd w:val="0"/>
        <w:snapToGrid w:val="0"/>
        <w:spacing w:line="360" w:lineRule="auto"/>
        <w:ind w:firstLine="420"/>
        <w:rPr>
          <w:rFonts w:hAnsi="宋体"/>
          <w:sz w:val="21"/>
          <w:szCs w:val="21"/>
        </w:rPr>
      </w:pPr>
      <w:r>
        <w:rPr>
          <w:rFonts w:hint="eastAsia" w:hAnsi="宋体"/>
          <w:sz w:val="21"/>
          <w:szCs w:val="21"/>
        </w:rPr>
        <w:t>承包人：(盖章)</w:t>
      </w:r>
    </w:p>
    <w:p w14:paraId="26383312">
      <w:pPr>
        <w:pStyle w:val="6"/>
        <w:adjustRightInd w:val="0"/>
        <w:snapToGrid w:val="0"/>
        <w:spacing w:line="360" w:lineRule="auto"/>
        <w:ind w:firstLine="420"/>
        <w:rPr>
          <w:rFonts w:hAnsi="宋体"/>
          <w:sz w:val="21"/>
          <w:szCs w:val="21"/>
        </w:rPr>
      </w:pPr>
      <w:r>
        <w:rPr>
          <w:rFonts w:hint="eastAsia" w:hAnsi="宋体"/>
          <w:sz w:val="21"/>
          <w:szCs w:val="21"/>
        </w:rPr>
        <w:t>法定代表人：(签字或盖章)</w:t>
      </w:r>
    </w:p>
    <w:p w14:paraId="47CD042A">
      <w:pPr>
        <w:pStyle w:val="6"/>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4E8D80EE">
      <w:pPr>
        <w:spacing w:line="360" w:lineRule="auto"/>
        <w:jc w:val="center"/>
        <w:rPr>
          <w:rFonts w:ascii="宋体" w:hAnsi="宋体"/>
          <w:b/>
          <w:bCs/>
          <w:sz w:val="21"/>
          <w:szCs w:val="21"/>
        </w:rPr>
      </w:pPr>
    </w:p>
    <w:p w14:paraId="479CF5AF">
      <w:pPr>
        <w:rPr>
          <w:rFonts w:ascii="宋体" w:hAnsi="宋体"/>
          <w:sz w:val="21"/>
          <w:szCs w:val="21"/>
        </w:rPr>
      </w:pPr>
    </w:p>
    <w:p w14:paraId="1EC85A82">
      <w:pPr>
        <w:pStyle w:val="6"/>
        <w:adjustRightInd w:val="0"/>
        <w:snapToGrid w:val="0"/>
        <w:spacing w:line="360" w:lineRule="auto"/>
        <w:ind w:firstLine="2420" w:firstLineChars="1100"/>
        <w:rPr>
          <w:rFonts w:hAnsi="宋体"/>
          <w:sz w:val="24"/>
        </w:rPr>
      </w:pPr>
      <w:bookmarkStart w:id="599" w:name="_Toc424397477"/>
      <w:bookmarkStart w:id="600"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01" w:name="_Toc897"/>
      <w:bookmarkStart w:id="602" w:name="_Toc398"/>
    </w:p>
    <w:p w14:paraId="3DD4D7AA">
      <w:pPr>
        <w:pStyle w:val="6"/>
        <w:adjustRightInd w:val="0"/>
        <w:snapToGrid w:val="0"/>
        <w:spacing w:line="360" w:lineRule="auto"/>
        <w:jc w:val="center"/>
        <w:rPr>
          <w:rFonts w:hAnsi="宋体"/>
          <w:b/>
          <w:bCs/>
          <w:sz w:val="28"/>
          <w:szCs w:val="28"/>
        </w:rPr>
      </w:pPr>
      <w:bookmarkStart w:id="603" w:name="_Toc25272"/>
      <w:bookmarkStart w:id="604" w:name="_Toc28920"/>
      <w:bookmarkStart w:id="605" w:name="_Toc7509580"/>
      <w:r>
        <w:rPr>
          <w:rFonts w:hint="eastAsia" w:hAnsi="宋体"/>
          <w:b/>
          <w:bCs/>
          <w:sz w:val="28"/>
          <w:szCs w:val="28"/>
        </w:rPr>
        <w:t>四、投标报价汇总表</w:t>
      </w:r>
      <w:bookmarkEnd w:id="599"/>
      <w:bookmarkEnd w:id="600"/>
      <w:bookmarkEnd w:id="601"/>
      <w:bookmarkEnd w:id="602"/>
      <w:bookmarkEnd w:id="603"/>
      <w:bookmarkEnd w:id="604"/>
      <w:bookmarkEnd w:id="605"/>
    </w:p>
    <w:p w14:paraId="20453969">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14:paraId="4686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14:paraId="5C53D03E">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14:paraId="4D9E9093">
            <w:pPr>
              <w:spacing w:line="360" w:lineRule="auto"/>
              <w:rPr>
                <w:rFonts w:ascii="宋体" w:hAnsi="宋体"/>
                <w:sz w:val="21"/>
                <w:szCs w:val="21"/>
              </w:rPr>
            </w:pPr>
          </w:p>
        </w:tc>
      </w:tr>
      <w:tr w14:paraId="27E6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14:paraId="7E640FC1">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14:paraId="76BBB57D">
            <w:pPr>
              <w:spacing w:line="360" w:lineRule="auto"/>
              <w:rPr>
                <w:rFonts w:ascii="宋体" w:hAnsi="宋体"/>
                <w:sz w:val="21"/>
                <w:szCs w:val="21"/>
              </w:rPr>
            </w:pPr>
          </w:p>
        </w:tc>
      </w:tr>
      <w:tr w14:paraId="1191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14:paraId="10C07E31">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14:paraId="52430612">
            <w:pPr>
              <w:spacing w:line="360" w:lineRule="auto"/>
              <w:rPr>
                <w:rFonts w:ascii="宋体" w:hAnsi="宋体"/>
                <w:sz w:val="21"/>
                <w:szCs w:val="21"/>
              </w:rPr>
            </w:pPr>
          </w:p>
        </w:tc>
        <w:tc>
          <w:tcPr>
            <w:tcW w:w="1800" w:type="dxa"/>
            <w:vAlign w:val="center"/>
          </w:tcPr>
          <w:p w14:paraId="7290DDDF">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14:paraId="5B83F6BF">
            <w:pPr>
              <w:spacing w:line="360" w:lineRule="auto"/>
              <w:rPr>
                <w:rFonts w:ascii="宋体" w:hAnsi="宋体"/>
                <w:sz w:val="21"/>
                <w:szCs w:val="21"/>
              </w:rPr>
            </w:pPr>
          </w:p>
        </w:tc>
      </w:tr>
      <w:tr w14:paraId="2056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14:paraId="571BB428">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14:paraId="73F9A31A">
            <w:pPr>
              <w:spacing w:line="360" w:lineRule="auto"/>
              <w:rPr>
                <w:rFonts w:ascii="宋体" w:hAnsi="宋体"/>
                <w:sz w:val="21"/>
                <w:szCs w:val="21"/>
              </w:rPr>
            </w:pPr>
          </w:p>
        </w:tc>
        <w:tc>
          <w:tcPr>
            <w:tcW w:w="1800" w:type="dxa"/>
            <w:vAlign w:val="center"/>
          </w:tcPr>
          <w:p w14:paraId="5D059414">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14:paraId="76D94F59">
            <w:pPr>
              <w:spacing w:line="360" w:lineRule="auto"/>
              <w:rPr>
                <w:rFonts w:ascii="宋体" w:hAnsi="宋体"/>
                <w:sz w:val="21"/>
                <w:szCs w:val="21"/>
              </w:rPr>
            </w:pPr>
          </w:p>
        </w:tc>
      </w:tr>
    </w:tbl>
    <w:p w14:paraId="6AAE01C5">
      <w:pPr>
        <w:spacing w:line="360" w:lineRule="auto"/>
        <w:rPr>
          <w:rFonts w:ascii="宋体" w:hAnsi="宋体"/>
          <w:sz w:val="21"/>
          <w:szCs w:val="21"/>
        </w:rPr>
      </w:pPr>
    </w:p>
    <w:p w14:paraId="0C13A0F3">
      <w:pPr>
        <w:spacing w:line="360" w:lineRule="auto"/>
        <w:rPr>
          <w:rFonts w:ascii="宋体" w:hAnsi="宋体"/>
          <w:sz w:val="21"/>
          <w:szCs w:val="21"/>
        </w:rPr>
      </w:pPr>
    </w:p>
    <w:p w14:paraId="708EA003">
      <w:pPr>
        <w:spacing w:line="360" w:lineRule="auto"/>
        <w:rPr>
          <w:rFonts w:ascii="宋体" w:hAnsi="宋体"/>
          <w:sz w:val="21"/>
          <w:szCs w:val="21"/>
        </w:rPr>
      </w:pPr>
    </w:p>
    <w:p w14:paraId="30975BF6">
      <w:pPr>
        <w:spacing w:line="360" w:lineRule="auto"/>
        <w:rPr>
          <w:rFonts w:ascii="宋体" w:hAnsi="宋体"/>
          <w:sz w:val="21"/>
          <w:szCs w:val="21"/>
        </w:rPr>
      </w:pPr>
      <w:r>
        <w:rPr>
          <w:rFonts w:hint="eastAsia" w:ascii="宋体" w:hAnsi="宋体"/>
          <w:sz w:val="21"/>
          <w:szCs w:val="21"/>
        </w:rPr>
        <w:t>投标人（盖章）：</w:t>
      </w:r>
    </w:p>
    <w:p w14:paraId="52EC5EC0">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14:paraId="345719FD">
      <w:pPr>
        <w:spacing w:line="360" w:lineRule="auto"/>
        <w:rPr>
          <w:rFonts w:ascii="宋体" w:hAnsi="宋体"/>
          <w:sz w:val="21"/>
          <w:szCs w:val="21"/>
        </w:rPr>
      </w:pPr>
      <w:r>
        <w:rPr>
          <w:rFonts w:hint="eastAsia" w:ascii="宋体" w:hAnsi="宋体"/>
          <w:sz w:val="21"/>
          <w:szCs w:val="21"/>
        </w:rPr>
        <w:t>年      月      日</w:t>
      </w:r>
    </w:p>
    <w:p w14:paraId="6C4152D5">
      <w:pPr>
        <w:spacing w:line="360" w:lineRule="auto"/>
        <w:jc w:val="center"/>
        <w:rPr>
          <w:rFonts w:ascii="宋体" w:hAnsi="宋体"/>
          <w:b/>
          <w:bCs/>
          <w:sz w:val="24"/>
        </w:rPr>
      </w:pPr>
    </w:p>
    <w:p w14:paraId="310FDFCA">
      <w:pPr>
        <w:spacing w:line="360" w:lineRule="auto"/>
        <w:jc w:val="center"/>
        <w:rPr>
          <w:rFonts w:ascii="宋体" w:hAnsi="宋体"/>
          <w:b/>
          <w:bCs/>
          <w:sz w:val="24"/>
        </w:rPr>
      </w:pPr>
    </w:p>
    <w:p w14:paraId="538DB626">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14:paraId="5AF21576">
      <w:pPr>
        <w:spacing w:line="360" w:lineRule="auto"/>
        <w:jc w:val="center"/>
        <w:rPr>
          <w:rFonts w:hAnsi="宋体"/>
          <w:sz w:val="24"/>
          <w:u w:val="single"/>
        </w:rPr>
      </w:pPr>
      <w:r>
        <w:rPr>
          <w:rFonts w:ascii="宋体" w:hAnsi="宋体"/>
          <w:b/>
          <w:bCs/>
          <w:sz w:val="24"/>
        </w:rPr>
        <w:br w:type="page"/>
      </w:r>
    </w:p>
    <w:p w14:paraId="34AAE6B6">
      <w:pPr>
        <w:pStyle w:val="2"/>
        <w:ind w:firstLine="0" w:firstLineChars="0"/>
        <w:jc w:val="center"/>
        <w:rPr>
          <w:sz w:val="44"/>
          <w:szCs w:val="44"/>
        </w:rPr>
      </w:pPr>
      <w:bookmarkStart w:id="606" w:name="_Toc6343"/>
      <w:bookmarkStart w:id="607" w:name="_Toc14252"/>
      <w:bookmarkStart w:id="608" w:name="_Toc17834"/>
      <w:bookmarkStart w:id="609" w:name="_Toc21070"/>
      <w:r>
        <w:rPr>
          <w:rFonts w:hint="eastAsia"/>
          <w:sz w:val="28"/>
          <w:szCs w:val="28"/>
        </w:rPr>
        <w:t>第</w:t>
      </w:r>
      <w:r>
        <w:rPr>
          <w:rFonts w:hint="eastAsia"/>
          <w:sz w:val="28"/>
          <w:szCs w:val="28"/>
          <w:lang w:val="en-US" w:eastAsia="zh-CN"/>
        </w:rPr>
        <w:t>五</w:t>
      </w:r>
      <w:r>
        <w:rPr>
          <w:rFonts w:hint="eastAsia"/>
          <w:sz w:val="28"/>
          <w:szCs w:val="28"/>
        </w:rPr>
        <w:t>章 评 标 细 则</w:t>
      </w:r>
      <w:bookmarkEnd w:id="606"/>
      <w:bookmarkEnd w:id="607"/>
      <w:bookmarkEnd w:id="608"/>
      <w:bookmarkEnd w:id="609"/>
    </w:p>
    <w:p w14:paraId="492E99D7">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14:paraId="0389AA7A">
      <w:pPr>
        <w:spacing w:line="360" w:lineRule="auto"/>
        <w:ind w:firstLine="480"/>
        <w:rPr>
          <w:rFonts w:ascii="宋体"/>
          <w:b/>
          <w:szCs w:val="21"/>
        </w:rPr>
      </w:pPr>
      <w:r>
        <w:rPr>
          <w:rFonts w:hint="eastAsia" w:ascii="宋体"/>
          <w:b/>
          <w:bCs/>
          <w:szCs w:val="21"/>
        </w:rPr>
        <w:t>二、商务标评审：</w:t>
      </w:r>
    </w:p>
    <w:p w14:paraId="58BE9D17">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14:paraId="7C48AC87">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14:paraId="54E1C915">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14:paraId="31081D67">
      <w:pPr>
        <w:keepNext w:val="0"/>
        <w:keepLines w:val="0"/>
        <w:pageBreakBefore w:val="0"/>
        <w:widowControl w:val="0"/>
        <w:kinsoku/>
        <w:wordWrap/>
        <w:overflowPunct/>
        <w:topLinePunct w:val="0"/>
        <w:bidi w:val="0"/>
        <w:snapToGrid/>
        <w:spacing w:line="400" w:lineRule="exact"/>
        <w:ind w:firstLine="480"/>
        <w:textAlignment w:val="auto"/>
        <w:rPr>
          <w:rFonts w:hint="eastAsia" w:ascii="宋体" w:hAnsi="宋体" w:eastAsia="宋体" w:cs="宋体"/>
          <w:b/>
          <w:bCs/>
          <w:sz w:val="21"/>
          <w:szCs w:val="21"/>
        </w:rPr>
      </w:pPr>
      <w:r>
        <w:rPr>
          <w:rFonts w:hint="eastAsia" w:ascii="宋体" w:hAnsi="宋体" w:eastAsia="宋体" w:cs="宋体"/>
          <w:b/>
          <w:sz w:val="21"/>
          <w:szCs w:val="21"/>
        </w:rPr>
        <w:t>方法</w:t>
      </w:r>
      <w:r>
        <w:rPr>
          <w:rFonts w:hint="eastAsia" w:ascii="宋体" w:hAnsi="宋体" w:eastAsia="宋体" w:cs="宋体"/>
          <w:b/>
          <w:sz w:val="21"/>
          <w:szCs w:val="21"/>
          <w:lang w:val="en-US" w:eastAsia="zh-CN"/>
        </w:rPr>
        <w:t>一</w:t>
      </w:r>
      <w:r>
        <w:rPr>
          <w:rFonts w:hint="eastAsia" w:ascii="宋体" w:hAnsi="宋体" w:eastAsia="宋体" w:cs="宋体"/>
          <w:b/>
          <w:sz w:val="21"/>
          <w:szCs w:val="21"/>
          <w:lang w:eastAsia="zh-CN"/>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w:t>
      </w:r>
      <w:r>
        <w:rPr>
          <w:rFonts w:hint="eastAsia" w:ascii="宋体" w:hAnsi="宋体" w:eastAsia="宋体" w:cs="宋体"/>
          <w:b/>
          <w:sz w:val="21"/>
          <w:szCs w:val="21"/>
          <w:lang w:val="en-US" w:eastAsia="zh-CN"/>
        </w:rPr>
        <w:t>清标</w:t>
      </w:r>
      <w:r>
        <w:rPr>
          <w:rFonts w:hint="eastAsia" w:ascii="宋体" w:hAnsi="宋体" w:eastAsia="宋体" w:cs="宋体"/>
          <w:b/>
          <w:sz w:val="21"/>
          <w:szCs w:val="21"/>
          <w:lang w:eastAsia="zh-CN"/>
        </w:rPr>
        <w:t>后由</w:t>
      </w:r>
      <w:r>
        <w:rPr>
          <w:rFonts w:hint="eastAsia" w:ascii="宋体" w:hAnsi="宋体" w:eastAsia="宋体" w:cs="宋体"/>
          <w:b/>
          <w:bCs/>
          <w:color w:val="0000FF"/>
          <w:sz w:val="21"/>
          <w:szCs w:val="21"/>
          <w:lang w:val="en-US" w:eastAsia="zh-CN"/>
        </w:rPr>
        <w:t>投标人推选的代表</w:t>
      </w:r>
      <w:r>
        <w:rPr>
          <w:rFonts w:hint="eastAsia" w:ascii="宋体" w:hAnsi="宋体" w:eastAsia="宋体" w:cs="宋体"/>
          <w:b/>
          <w:sz w:val="21"/>
          <w:szCs w:val="21"/>
          <w:lang w:eastAsia="zh-CN"/>
        </w:rPr>
        <w:t>随机抽取确定，范围为95%、96%、97%、98%。等于评标基准价得最高分（100 分），并以此为基准确定其他投标人的价格得分：投标价格高于该基准价的，每高1%扣0.9 分；投标价格低于该基准价的，每低1%扣0.6 分。</w:t>
      </w:r>
      <w:r>
        <w:rPr>
          <w:rFonts w:hint="eastAsia" w:ascii="宋体" w:hAnsi="宋体" w:eastAsia="宋体" w:cs="宋体"/>
          <w:b/>
          <w:sz w:val="21"/>
          <w:szCs w:val="21"/>
        </w:rPr>
        <w:t>[中间用插入法</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保留两位小数</w:t>
      </w:r>
      <w:r>
        <w:rPr>
          <w:rFonts w:hint="eastAsia" w:ascii="宋体" w:hAnsi="宋体" w:eastAsia="宋体" w:cs="宋体"/>
          <w:b/>
          <w:sz w:val="21"/>
          <w:szCs w:val="21"/>
        </w:rPr>
        <w:t>]</w:t>
      </w:r>
      <w:r>
        <w:rPr>
          <w:rFonts w:hint="eastAsia" w:ascii="宋体" w:hAnsi="宋体" w:eastAsia="宋体" w:cs="宋体"/>
          <w:sz w:val="21"/>
          <w:szCs w:val="21"/>
        </w:rPr>
        <w:t>。</w:t>
      </w:r>
    </w:p>
    <w:p w14:paraId="185BB680">
      <w:pPr>
        <w:keepNext w:val="0"/>
        <w:keepLines w:val="0"/>
        <w:pageBreakBefore w:val="0"/>
        <w:widowControl w:val="0"/>
        <w:kinsoku/>
        <w:wordWrap/>
        <w:overflowPunct/>
        <w:topLinePunct w:val="0"/>
        <w:bidi w:val="0"/>
        <w:snapToGrid/>
        <w:spacing w:line="400" w:lineRule="exact"/>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方法二：</w:t>
      </w:r>
      <w:r>
        <w:rPr>
          <w:rFonts w:hint="eastAsia" w:ascii="宋体" w:hAnsi="宋体" w:eastAsia="宋体" w:cs="宋体"/>
          <w:b/>
          <w:bCs/>
          <w:sz w:val="21"/>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w:t>
      </w:r>
      <w:r>
        <w:rPr>
          <w:rFonts w:hint="eastAsia" w:ascii="宋体" w:hAnsi="宋体" w:eastAsia="宋体" w:cs="宋体"/>
          <w:b/>
          <w:bCs/>
          <w:sz w:val="21"/>
          <w:szCs w:val="21"/>
          <w:lang w:val="en-US" w:eastAsia="zh-CN"/>
        </w:rPr>
        <w:t>最高限价</w:t>
      </w:r>
      <w:r>
        <w:rPr>
          <w:rFonts w:hint="eastAsia" w:ascii="宋体" w:hAnsi="宋体" w:eastAsia="宋体" w:cs="宋体"/>
          <w:b/>
          <w:bCs/>
          <w:sz w:val="21"/>
          <w:szCs w:val="21"/>
        </w:rPr>
        <w:t>为B，则: 评标基准价 =A×K1×Q1+B×K2×Q2 ，Q2=1-Q1, （Q1的取值范围为65%、70%、75%、80%、85%）；K1 的取值范围为 95%、96%、97%、98%；K2 的取值为100%。Q1、K1 值在清标后由</w:t>
      </w:r>
      <w:r>
        <w:rPr>
          <w:rFonts w:hint="eastAsia" w:ascii="宋体" w:hAnsi="宋体" w:eastAsia="宋体" w:cs="宋体"/>
          <w:b/>
          <w:bCs/>
          <w:color w:val="0000FF"/>
          <w:sz w:val="21"/>
          <w:szCs w:val="21"/>
          <w:lang w:val="en-US" w:eastAsia="zh-CN"/>
        </w:rPr>
        <w:t>投标人推选的</w:t>
      </w:r>
      <w:r>
        <w:rPr>
          <w:rFonts w:hint="eastAsia" w:ascii="宋体" w:hAnsi="宋体" w:eastAsia="宋体" w:cs="宋体"/>
          <w:b/>
          <w:bCs/>
          <w:sz w:val="21"/>
          <w:szCs w:val="21"/>
        </w:rPr>
        <w:t>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sz w:val="21"/>
          <w:szCs w:val="21"/>
        </w:rPr>
        <w:t>[中间用插入法</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保留两位小数</w:t>
      </w:r>
      <w:r>
        <w:rPr>
          <w:rFonts w:hint="eastAsia" w:ascii="宋体" w:hAnsi="宋体" w:eastAsia="宋体" w:cs="宋体"/>
          <w:b/>
          <w:sz w:val="21"/>
          <w:szCs w:val="21"/>
        </w:rPr>
        <w:t>]</w:t>
      </w:r>
      <w:r>
        <w:rPr>
          <w:rFonts w:hint="eastAsia" w:ascii="宋体" w:hAnsi="宋体" w:eastAsia="宋体" w:cs="宋体"/>
          <w:sz w:val="21"/>
          <w:szCs w:val="21"/>
        </w:rPr>
        <w:t>。</w:t>
      </w:r>
    </w:p>
    <w:p w14:paraId="3D2D3C1D">
      <w:pPr>
        <w:spacing w:line="360" w:lineRule="auto"/>
        <w:ind w:firstLine="480"/>
        <w:rPr>
          <w:rFonts w:ascii="宋体"/>
          <w:szCs w:val="21"/>
        </w:rPr>
      </w:pPr>
      <w:r>
        <w:rPr>
          <w:rFonts w:hint="eastAsia" w:ascii="宋体" w:hAnsi="宋体" w:eastAsia="宋体" w:cs="宋体"/>
          <w:b/>
          <w:bCs/>
          <w:sz w:val="21"/>
          <w:szCs w:val="21"/>
          <w:lang w:val="zh-CN"/>
        </w:rPr>
        <w:t>以上</w:t>
      </w:r>
      <w:r>
        <w:rPr>
          <w:rFonts w:hint="eastAsia" w:ascii="宋体" w:hAnsi="宋体" w:eastAsia="宋体" w:cs="宋体"/>
          <w:b/>
          <w:bCs/>
          <w:sz w:val="21"/>
          <w:szCs w:val="21"/>
        </w:rPr>
        <w:t>两</w:t>
      </w:r>
      <w:r>
        <w:rPr>
          <w:rFonts w:hint="eastAsia" w:ascii="宋体" w:hAnsi="宋体" w:eastAsia="宋体" w:cs="宋体"/>
          <w:b/>
          <w:bCs/>
          <w:sz w:val="21"/>
          <w:szCs w:val="21"/>
          <w:lang w:val="zh-CN"/>
        </w:rPr>
        <w:t>种评标办法的选择由招标人代表在清标后随机抽取。</w:t>
      </w:r>
    </w:p>
    <w:p w14:paraId="79F7D40B">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14:paraId="62623C99">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14:paraId="4FAB46D3">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14:paraId="29EFD8D7">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14:paraId="49FEA039">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14:paraId="1C39BD70">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--投标文件唱标、清标--评分办法及相应系数抽取--定标</w:t>
      </w:r>
      <w:r>
        <w:rPr>
          <w:rFonts w:hint="eastAsia" w:ascii="宋体"/>
          <w:szCs w:val="21"/>
        </w:rPr>
        <w:t>。</w:t>
      </w:r>
    </w:p>
    <w:p w14:paraId="000D9499">
      <w:pPr>
        <w:pStyle w:val="20"/>
        <w:spacing w:line="360" w:lineRule="auto"/>
        <w:rPr>
          <w:rFonts w:cs="宋体"/>
          <w:color w:val="auto"/>
          <w:sz w:val="21"/>
          <w:szCs w:val="21"/>
        </w:rPr>
      </w:pPr>
      <w:r>
        <w:rPr>
          <w:b/>
          <w:color w:val="auto"/>
          <w:sz w:val="21"/>
          <w:szCs w:val="21"/>
        </w:rPr>
        <w:t>提醒：</w:t>
      </w:r>
    </w:p>
    <w:p w14:paraId="24A7413B">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14:paraId="0A33ED97">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14:paraId="4916642F">
      <w:pPr>
        <w:spacing w:line="360" w:lineRule="auto"/>
        <w:ind w:firstLine="480"/>
      </w:pPr>
      <w:r>
        <w:rPr>
          <w:rFonts w:hint="eastAsia" w:ascii="宋体"/>
          <w:b/>
          <w:szCs w:val="21"/>
        </w:rPr>
        <w:t>3、评标结束后，无论是否出现招投标当事人异议、投诉以及评委评审和计算错误情形，评标基准价均不重新计算。</w:t>
      </w:r>
    </w:p>
    <w:p w14:paraId="5D0F9E6F"/>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FC85">
    <w:pPr>
      <w:pStyle w:val="8"/>
      <w:framePr w:wrap="around" w:vAnchor="text" w:hAnchor="margin" w:xAlign="center" w:y="1"/>
      <w:rPr>
        <w:rStyle w:val="16"/>
      </w:rPr>
    </w:pPr>
    <w:r>
      <w:fldChar w:fldCharType="begin"/>
    </w:r>
    <w:r>
      <w:rPr>
        <w:rStyle w:val="16"/>
      </w:rPr>
      <w:instrText xml:space="preserve">PAGE  </w:instrText>
    </w:r>
    <w:r>
      <w:fldChar w:fldCharType="end"/>
    </w:r>
  </w:p>
  <w:p w14:paraId="29F6D1D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08403">
    <w:pPr>
      <w:pStyle w:val="8"/>
    </w:pP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EEC3A">
    <w:pPr>
      <w:pStyle w:val="8"/>
      <w:tabs>
        <w:tab w:val="left" w:pos="6090"/>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4D23C">
    <w:pPr>
      <w:pStyle w:val="8"/>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E218">
    <w:pPr>
      <w:pStyle w:val="8"/>
      <w:tabs>
        <w:tab w:val="left" w:pos="6090"/>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5FA03">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5EC3C"/>
    <w:multiLevelType w:val="singleLevel"/>
    <w:tmpl w:val="DAC5EC3C"/>
    <w:lvl w:ilvl="0" w:tentative="0">
      <w:start w:val="2"/>
      <w:numFmt w:val="decimal"/>
      <w:lvlText w:val="%1."/>
      <w:lvlJc w:val="left"/>
      <w:pPr>
        <w:tabs>
          <w:tab w:val="left" w:pos="312"/>
        </w:tabs>
      </w:pPr>
    </w:lvl>
  </w:abstractNum>
  <w:abstractNum w:abstractNumId="1">
    <w:nsid w:val="F026B4A4"/>
    <w:multiLevelType w:val="singleLevel"/>
    <w:tmpl w:val="F026B4A4"/>
    <w:lvl w:ilvl="0" w:tentative="0">
      <w:start w:val="5"/>
      <w:numFmt w:val="chineseCounting"/>
      <w:suff w:val="nothing"/>
      <w:lvlText w:val="%1、"/>
      <w:lvlJc w:val="left"/>
      <w:rPr>
        <w:rFonts w:hint="eastAsia"/>
      </w:rPr>
    </w:lvl>
  </w:abstractNum>
  <w:abstractNum w:abstractNumId="2">
    <w:nsid w:val="56DCCC8E"/>
    <w:multiLevelType w:val="singleLevel"/>
    <w:tmpl w:val="56DCCC8E"/>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ZmM2ZTFmOTAwYzFlZTdhOThlYTRmYjM1NmFlY2QifQ=="/>
  </w:docVars>
  <w:rsids>
    <w:rsidRoot w:val="04210478"/>
    <w:rsid w:val="00026F1D"/>
    <w:rsid w:val="000F2BFA"/>
    <w:rsid w:val="00122245"/>
    <w:rsid w:val="001503B1"/>
    <w:rsid w:val="00187605"/>
    <w:rsid w:val="001E40F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4210478"/>
    <w:rsid w:val="04432687"/>
    <w:rsid w:val="04AD3495"/>
    <w:rsid w:val="04D806FC"/>
    <w:rsid w:val="0507785E"/>
    <w:rsid w:val="057A094D"/>
    <w:rsid w:val="057A490C"/>
    <w:rsid w:val="058F4143"/>
    <w:rsid w:val="062D5330"/>
    <w:rsid w:val="062F7947"/>
    <w:rsid w:val="069652CB"/>
    <w:rsid w:val="06E75D72"/>
    <w:rsid w:val="070F17FB"/>
    <w:rsid w:val="079B5FAE"/>
    <w:rsid w:val="07DA145D"/>
    <w:rsid w:val="07F1321A"/>
    <w:rsid w:val="080512DC"/>
    <w:rsid w:val="0816156E"/>
    <w:rsid w:val="08215587"/>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431BED"/>
    <w:rsid w:val="10F93ED3"/>
    <w:rsid w:val="11186EC6"/>
    <w:rsid w:val="11A4243B"/>
    <w:rsid w:val="11CA7D3B"/>
    <w:rsid w:val="11F50CDC"/>
    <w:rsid w:val="123267A4"/>
    <w:rsid w:val="123F625E"/>
    <w:rsid w:val="12485112"/>
    <w:rsid w:val="126B0E01"/>
    <w:rsid w:val="126C5D9D"/>
    <w:rsid w:val="129C7F02"/>
    <w:rsid w:val="13716997"/>
    <w:rsid w:val="13A83D43"/>
    <w:rsid w:val="13E470BD"/>
    <w:rsid w:val="14033434"/>
    <w:rsid w:val="145533A6"/>
    <w:rsid w:val="15493414"/>
    <w:rsid w:val="154B4320"/>
    <w:rsid w:val="156052AE"/>
    <w:rsid w:val="15FE2FBC"/>
    <w:rsid w:val="1756114A"/>
    <w:rsid w:val="175D7709"/>
    <w:rsid w:val="17E14A02"/>
    <w:rsid w:val="17F4051E"/>
    <w:rsid w:val="18262D2F"/>
    <w:rsid w:val="183F4893"/>
    <w:rsid w:val="19CD21C9"/>
    <w:rsid w:val="19F162B9"/>
    <w:rsid w:val="1A262217"/>
    <w:rsid w:val="1A861F7A"/>
    <w:rsid w:val="1AB3093F"/>
    <w:rsid w:val="1ADA2B18"/>
    <w:rsid w:val="1B0862A1"/>
    <w:rsid w:val="1B2A7AAB"/>
    <w:rsid w:val="1B9F5B92"/>
    <w:rsid w:val="1BA459BD"/>
    <w:rsid w:val="1BA63969"/>
    <w:rsid w:val="1C6C4B9A"/>
    <w:rsid w:val="1C80207F"/>
    <w:rsid w:val="1C8F4572"/>
    <w:rsid w:val="1CA97EEF"/>
    <w:rsid w:val="1CB26C8F"/>
    <w:rsid w:val="1CB6582C"/>
    <w:rsid w:val="1CC53517"/>
    <w:rsid w:val="1CD34DA7"/>
    <w:rsid w:val="1CEC2B3E"/>
    <w:rsid w:val="1CED212E"/>
    <w:rsid w:val="1DEE712F"/>
    <w:rsid w:val="1E624185"/>
    <w:rsid w:val="1EE73F05"/>
    <w:rsid w:val="1F60660E"/>
    <w:rsid w:val="1F7355F1"/>
    <w:rsid w:val="1F735A0B"/>
    <w:rsid w:val="1F8254F4"/>
    <w:rsid w:val="206A1FBA"/>
    <w:rsid w:val="208F356B"/>
    <w:rsid w:val="209C2740"/>
    <w:rsid w:val="212F7F58"/>
    <w:rsid w:val="21FC1CAE"/>
    <w:rsid w:val="22300199"/>
    <w:rsid w:val="22600256"/>
    <w:rsid w:val="228E72A6"/>
    <w:rsid w:val="22BF1DCF"/>
    <w:rsid w:val="230C7DF6"/>
    <w:rsid w:val="236F3203"/>
    <w:rsid w:val="23813B20"/>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210F9"/>
    <w:rsid w:val="331E2E76"/>
    <w:rsid w:val="33AD5110"/>
    <w:rsid w:val="33B46DFA"/>
    <w:rsid w:val="33F50379"/>
    <w:rsid w:val="33FC766F"/>
    <w:rsid w:val="34971654"/>
    <w:rsid w:val="34C03157"/>
    <w:rsid w:val="34CC71CA"/>
    <w:rsid w:val="353B5C6A"/>
    <w:rsid w:val="35556F6B"/>
    <w:rsid w:val="357C324A"/>
    <w:rsid w:val="36956640"/>
    <w:rsid w:val="36B45B0A"/>
    <w:rsid w:val="36E25286"/>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03773A"/>
    <w:rsid w:val="3A8219E0"/>
    <w:rsid w:val="3AD93F65"/>
    <w:rsid w:val="3AFB2473"/>
    <w:rsid w:val="3B376EFC"/>
    <w:rsid w:val="3B4B3B3B"/>
    <w:rsid w:val="3B635D60"/>
    <w:rsid w:val="3B660C91"/>
    <w:rsid w:val="3B7479B4"/>
    <w:rsid w:val="3BA66DE6"/>
    <w:rsid w:val="3C152F9D"/>
    <w:rsid w:val="3C344DD3"/>
    <w:rsid w:val="3C557729"/>
    <w:rsid w:val="3CB375CC"/>
    <w:rsid w:val="3D1F72F5"/>
    <w:rsid w:val="3D5D6520"/>
    <w:rsid w:val="3DCD7917"/>
    <w:rsid w:val="3DD0408A"/>
    <w:rsid w:val="3DEA32F6"/>
    <w:rsid w:val="3DF7588D"/>
    <w:rsid w:val="3E1C2CC7"/>
    <w:rsid w:val="3FAF6CE2"/>
    <w:rsid w:val="40200F8D"/>
    <w:rsid w:val="40554B60"/>
    <w:rsid w:val="40A07B60"/>
    <w:rsid w:val="410258E6"/>
    <w:rsid w:val="421C0D7B"/>
    <w:rsid w:val="42784CF1"/>
    <w:rsid w:val="42885ED8"/>
    <w:rsid w:val="42934BD6"/>
    <w:rsid w:val="43926674"/>
    <w:rsid w:val="43A14942"/>
    <w:rsid w:val="43A86ECF"/>
    <w:rsid w:val="440E2A8F"/>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76DF3"/>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473FB8"/>
    <w:rsid w:val="515F7512"/>
    <w:rsid w:val="517268FB"/>
    <w:rsid w:val="518C57C7"/>
    <w:rsid w:val="51AF0623"/>
    <w:rsid w:val="525B5A60"/>
    <w:rsid w:val="52AC78CB"/>
    <w:rsid w:val="52BA2FDC"/>
    <w:rsid w:val="52EB3E73"/>
    <w:rsid w:val="52F276F8"/>
    <w:rsid w:val="530D4FE1"/>
    <w:rsid w:val="53967117"/>
    <w:rsid w:val="53972727"/>
    <w:rsid w:val="542F752F"/>
    <w:rsid w:val="543F1040"/>
    <w:rsid w:val="548856CD"/>
    <w:rsid w:val="548E6AF4"/>
    <w:rsid w:val="551004AF"/>
    <w:rsid w:val="55BA2AAD"/>
    <w:rsid w:val="562D431B"/>
    <w:rsid w:val="56572614"/>
    <w:rsid w:val="56A0017C"/>
    <w:rsid w:val="571B13DB"/>
    <w:rsid w:val="57291945"/>
    <w:rsid w:val="57AE3079"/>
    <w:rsid w:val="582C461B"/>
    <w:rsid w:val="5857114E"/>
    <w:rsid w:val="58834F21"/>
    <w:rsid w:val="58C82395"/>
    <w:rsid w:val="59A541C5"/>
    <w:rsid w:val="5A2F1CE0"/>
    <w:rsid w:val="5A351F13"/>
    <w:rsid w:val="5A62296D"/>
    <w:rsid w:val="5ABD7A5F"/>
    <w:rsid w:val="5AC71F19"/>
    <w:rsid w:val="5AD3240B"/>
    <w:rsid w:val="5AD3566D"/>
    <w:rsid w:val="5C344B35"/>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72649"/>
    <w:rsid w:val="6703005C"/>
    <w:rsid w:val="671B7875"/>
    <w:rsid w:val="678C3B5A"/>
    <w:rsid w:val="687A681D"/>
    <w:rsid w:val="6907125C"/>
    <w:rsid w:val="69CE4CB7"/>
    <w:rsid w:val="69E104CC"/>
    <w:rsid w:val="6A741B4E"/>
    <w:rsid w:val="6ABC4FE0"/>
    <w:rsid w:val="6AC96BD0"/>
    <w:rsid w:val="6AE3348B"/>
    <w:rsid w:val="6B416D54"/>
    <w:rsid w:val="6B712159"/>
    <w:rsid w:val="6C691A0B"/>
    <w:rsid w:val="6CA16C49"/>
    <w:rsid w:val="6CC32578"/>
    <w:rsid w:val="6D185FF1"/>
    <w:rsid w:val="6D292E34"/>
    <w:rsid w:val="6D4549E6"/>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565A"/>
    <w:rsid w:val="72D670A5"/>
    <w:rsid w:val="72EB5E62"/>
    <w:rsid w:val="73113D4A"/>
    <w:rsid w:val="73230AE2"/>
    <w:rsid w:val="73E42497"/>
    <w:rsid w:val="74502C9A"/>
    <w:rsid w:val="74786D2C"/>
    <w:rsid w:val="74A30713"/>
    <w:rsid w:val="74A86771"/>
    <w:rsid w:val="74CE557E"/>
    <w:rsid w:val="75772608"/>
    <w:rsid w:val="75B94E29"/>
    <w:rsid w:val="77A3064B"/>
    <w:rsid w:val="7807061A"/>
    <w:rsid w:val="784755D7"/>
    <w:rsid w:val="78F11573"/>
    <w:rsid w:val="79373E15"/>
    <w:rsid w:val="79EC4019"/>
    <w:rsid w:val="7A16661D"/>
    <w:rsid w:val="7AEB3AC8"/>
    <w:rsid w:val="7AFC6948"/>
    <w:rsid w:val="7B6A6E91"/>
    <w:rsid w:val="7B9F0C72"/>
    <w:rsid w:val="7BBA0318"/>
    <w:rsid w:val="7C482A62"/>
    <w:rsid w:val="7C6F2012"/>
    <w:rsid w:val="7C701920"/>
    <w:rsid w:val="7D3D633F"/>
    <w:rsid w:val="7D410D4A"/>
    <w:rsid w:val="7DD32800"/>
    <w:rsid w:val="7EB56193"/>
    <w:rsid w:val="7EE2719E"/>
    <w:rsid w:val="7EE679F0"/>
    <w:rsid w:val="7EF51180"/>
    <w:rsid w:val="7F660D4D"/>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styleId="17">
    <w:name w:val="Hyperlink"/>
    <w:qFormat/>
    <w:uiPriority w:val="99"/>
    <w:rPr>
      <w:color w:val="0000FF"/>
      <w:u w:val="single"/>
    </w:rPr>
  </w:style>
  <w:style w:type="paragraph" w:customStyle="1" w:styleId="18">
    <w:name w:val="首行缩进"/>
    <w:basedOn w:val="1"/>
    <w:qFormat/>
    <w:uiPriority w:val="0"/>
    <w:pPr>
      <w:ind w:firstLine="480" w:firstLineChars="200"/>
    </w:pPr>
    <w:rPr>
      <w:lang w:val="zh-CN"/>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28006</Words>
  <Characters>28952</Characters>
  <Lines>196</Lines>
  <Paragraphs>55</Paragraphs>
  <TotalTime>0</TotalTime>
  <ScaleCrop>false</ScaleCrop>
  <LinksUpToDate>false</LinksUpToDate>
  <CharactersWithSpaces>30966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A1</cp:lastModifiedBy>
  <cp:lastPrinted>2022-05-20T03:11:00Z</cp:lastPrinted>
  <dcterms:modified xsi:type="dcterms:W3CDTF">2026-07-09T03:01:46Z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D0B3304790154692A2F98111DB3AA2D7_13</vt:lpwstr>
  </property>
  <property fmtid="{D5CDD505-2E9C-101B-9397-08002B2CF9AE}" pid="4" name="KSOTemplateDocerSaveRecord">
    <vt:lpwstr>eyJoZGlkIjoiMWRiMDBkZDIxMjdkMTE0YTQwMDA4ODkzODFmYWRjNTYiLCJ1c2VySWQiOiIyOTE5Mzk5MzQifQ==</vt:lpwstr>
  </property>
</Properties>
</file>