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24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常州市人工智能赋能教育应用案例格式模板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69A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center"/>
          </w:tcPr>
          <w:p w14:paraId="0B8D697F">
            <w:pPr>
              <w:jc w:val="cente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案例名称</w:t>
            </w:r>
          </w:p>
        </w:tc>
        <w:tc>
          <w:tcPr>
            <w:tcW w:w="6392" w:type="dxa"/>
            <w:gridSpan w:val="3"/>
            <w:noWrap w:val="0"/>
            <w:vAlign w:val="center"/>
          </w:tcPr>
          <w:p w14:paraId="3A38D04F">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p>
        </w:tc>
      </w:tr>
      <w:tr w14:paraId="639D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72593DD">
            <w:pPr>
              <w:jc w:val="cente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申报单位</w:t>
            </w:r>
          </w:p>
        </w:tc>
        <w:tc>
          <w:tcPr>
            <w:tcW w:w="6392" w:type="dxa"/>
            <w:gridSpan w:val="3"/>
            <w:noWrap w:val="0"/>
            <w:vAlign w:val="center"/>
          </w:tcPr>
          <w:p w14:paraId="0DD20A64">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p>
        </w:tc>
      </w:tr>
      <w:tr w14:paraId="178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3F50E26">
            <w:pPr>
              <w:jc w:val="cente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申报方向</w:t>
            </w:r>
          </w:p>
        </w:tc>
        <w:tc>
          <w:tcPr>
            <w:tcW w:w="6392" w:type="dxa"/>
            <w:gridSpan w:val="3"/>
            <w:noWrap w:val="0"/>
            <w:vAlign w:val="center"/>
          </w:tcPr>
          <w:p w14:paraId="79E965EF">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人工智能与课堂教学深度融合</w:t>
            </w:r>
          </w:p>
          <w:p w14:paraId="40BF977F">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人工智能赋能教育评价改革</w:t>
            </w:r>
          </w:p>
          <w:p w14:paraId="055DB2CA">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人工智能支持教师专业发展</w:t>
            </w:r>
          </w:p>
          <w:p w14:paraId="798700AE">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人工智能优化教育管理与服务</w:t>
            </w:r>
          </w:p>
          <w:p w14:paraId="17DC1478">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人工智能促进优质资源共建共享</w:t>
            </w:r>
          </w:p>
          <w:p w14:paraId="2A38BE8A">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人工智能教育通识课程与人才培养</w:t>
            </w:r>
          </w:p>
          <w:p w14:paraId="646B79B4">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教育专用大模型及细分场景应用</w:t>
            </w:r>
          </w:p>
          <w:p w14:paraId="4176F184">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r>
              <w:rPr>
                <w:rFonts w:hint="eastAsia" w:ascii="仿宋_GB2312" w:hAnsi="仿宋_GB2312" w:eastAsia="仿宋_GB2312" w:cs="仿宋_GB2312"/>
                <w:i w:val="0"/>
                <w:iCs w:val="0"/>
                <w:caps w:val="0"/>
                <w:color w:val="000000"/>
                <w:spacing w:val="0"/>
                <w:sz w:val="28"/>
                <w:szCs w:val="28"/>
                <w:shd w:val="clear" w:color="auto"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color="auto" w:fill="FFFFFF"/>
                <w:vertAlign w:val="baseline"/>
              </w:rPr>
              <w:t>其他</w:t>
            </w:r>
          </w:p>
        </w:tc>
      </w:tr>
      <w:tr w14:paraId="5AFB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CA1201E">
            <w:pPr>
              <w:jc w:val="center"/>
              <w:rPr>
                <w:rFonts w:hint="default"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案例负责人</w:t>
            </w:r>
          </w:p>
        </w:tc>
        <w:tc>
          <w:tcPr>
            <w:tcW w:w="2130" w:type="dxa"/>
            <w:noWrap w:val="0"/>
            <w:vAlign w:val="center"/>
          </w:tcPr>
          <w:p w14:paraId="071034FB">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p>
        </w:tc>
        <w:tc>
          <w:tcPr>
            <w:tcW w:w="2131" w:type="dxa"/>
            <w:noWrap w:val="0"/>
            <w:vAlign w:val="center"/>
          </w:tcPr>
          <w:p w14:paraId="0CACFEE1">
            <w:pPr>
              <w:jc w:val="center"/>
              <w:rPr>
                <w:rFonts w:hint="default"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联系电话</w:t>
            </w:r>
          </w:p>
        </w:tc>
        <w:tc>
          <w:tcPr>
            <w:tcW w:w="2131" w:type="dxa"/>
            <w:noWrap w:val="0"/>
            <w:vAlign w:val="center"/>
          </w:tcPr>
          <w:p w14:paraId="2C4FECE5">
            <w:pPr>
              <w:jc w:val="both"/>
              <w:rPr>
                <w:rFonts w:hint="eastAsia" w:ascii="仿宋_GB2312" w:hAnsi="仿宋_GB2312" w:eastAsia="仿宋_GB2312" w:cs="仿宋_GB2312"/>
                <w:i w:val="0"/>
                <w:iCs w:val="0"/>
                <w:caps w:val="0"/>
                <w:color w:val="000000"/>
                <w:spacing w:val="0"/>
                <w:sz w:val="28"/>
                <w:szCs w:val="28"/>
                <w:shd w:val="clear" w:color="auto" w:fill="FFFFFF"/>
                <w:vertAlign w:val="baseline"/>
              </w:rPr>
            </w:pPr>
          </w:p>
        </w:tc>
      </w:tr>
      <w:tr w14:paraId="7911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14BA4E7C">
            <w:pPr>
              <w:numPr>
                <w:ilvl w:val="0"/>
                <w:numId w:val="0"/>
              </w:numP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一、案例背景与目标</w:t>
            </w:r>
          </w:p>
          <w:p w14:paraId="5AAF0326">
            <w:pPr>
              <w:numPr>
                <w:ilvl w:val="0"/>
                <w:numId w:val="0"/>
              </w:numPr>
              <w:rPr>
                <w:rFonts w:hint="eastAsia" w:ascii="楷体" w:hAnsi="楷体" w:eastAsia="楷体" w:cs="楷体"/>
                <w:i w:val="0"/>
                <w:iCs w:val="0"/>
                <w:caps w:val="0"/>
                <w:color w:val="000000"/>
                <w:spacing w:val="0"/>
                <w:sz w:val="28"/>
                <w:szCs w:val="28"/>
                <w:shd w:val="clear" w:color="auto" w:fill="FFFFFF"/>
                <w:vertAlign w:val="baseline"/>
                <w:lang w:val="en-US" w:eastAsia="zh-CN"/>
              </w:rPr>
            </w:pPr>
            <w:r>
              <w:rPr>
                <w:rFonts w:hint="eastAsia" w:ascii="楷体" w:hAnsi="楷体" w:eastAsia="楷体" w:cs="楷体"/>
                <w:i w:val="0"/>
                <w:iCs w:val="0"/>
                <w:caps w:val="0"/>
                <w:color w:val="000000"/>
                <w:spacing w:val="0"/>
                <w:sz w:val="28"/>
                <w:szCs w:val="28"/>
                <w:shd w:val="clear" w:color="auto" w:fill="FFFFFF"/>
                <w:vertAlign w:val="baseline"/>
                <w:lang w:val="en-US" w:eastAsia="zh-CN"/>
              </w:rPr>
              <w:t>（</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背景分析</w:t>
            </w:r>
            <w:r>
              <w:rPr>
                <w:rFonts w:hint="eastAsia" w:ascii="楷体" w:hAnsi="楷体" w:eastAsia="楷体" w:cs="楷体"/>
                <w:i w:val="0"/>
                <w:iCs w:val="0"/>
                <w:caps w:val="0"/>
                <w:color w:val="000000"/>
                <w:spacing w:val="0"/>
                <w:sz w:val="28"/>
                <w:szCs w:val="28"/>
                <w:shd w:val="clear" w:color="auto" w:fill="FFFFFF"/>
                <w:vertAlign w:val="baseline"/>
                <w:lang w:val="en-US" w:eastAsia="zh-CN"/>
              </w:rPr>
              <w:t>：简述当前教育教学或学校管理中存在的痛点、难点或发展需求，说明为何引入人工智能技术。</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目标设定</w:t>
            </w:r>
            <w:r>
              <w:rPr>
                <w:rFonts w:hint="eastAsia" w:ascii="楷体" w:hAnsi="楷体" w:eastAsia="楷体" w:cs="楷体"/>
                <w:i w:val="0"/>
                <w:iCs w:val="0"/>
                <w:caps w:val="0"/>
                <w:color w:val="000000"/>
                <w:spacing w:val="0"/>
                <w:sz w:val="28"/>
                <w:szCs w:val="28"/>
                <w:shd w:val="clear" w:color="auto" w:fill="FFFFFF"/>
                <w:vertAlign w:val="baseline"/>
                <w:lang w:val="en-US" w:eastAsia="zh-CN"/>
              </w:rPr>
              <w:t>：明确本案例希望通过应用人工智能技术达成的具体目标。）</w:t>
            </w:r>
          </w:p>
          <w:p w14:paraId="45E7523F">
            <w:pPr>
              <w:numPr>
                <w:ilvl w:val="0"/>
                <w:numId w:val="0"/>
              </w:numP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4C9D286B">
            <w:pPr>
              <w:numPr>
                <w:ilvl w:val="0"/>
                <w:numId w:val="0"/>
              </w:numP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70479893">
            <w:pPr>
              <w:numPr>
                <w:ilvl w:val="0"/>
                <w:numId w:val="0"/>
              </w:numP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1D766B22">
            <w:pPr>
              <w:numPr>
                <w:ilvl w:val="0"/>
                <w:numId w:val="0"/>
              </w:numP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38A40936">
            <w:pPr>
              <w:numPr>
                <w:ilvl w:val="0"/>
                <w:numId w:val="0"/>
              </w:numPr>
              <w:rPr>
                <w:rFonts w:hint="eastAsia" w:ascii="楷体" w:hAnsi="楷体" w:eastAsia="楷体" w:cs="楷体"/>
                <w:i w:val="0"/>
                <w:iCs w:val="0"/>
                <w:caps w:val="0"/>
                <w:color w:val="000000"/>
                <w:spacing w:val="0"/>
                <w:sz w:val="28"/>
                <w:szCs w:val="28"/>
                <w:shd w:val="clear" w:color="auto" w:fill="FFFFFF"/>
                <w:vertAlign w:val="baseline"/>
                <w:lang w:val="en-US" w:eastAsia="zh-CN"/>
              </w:rPr>
            </w:pPr>
          </w:p>
          <w:p w14:paraId="12177A90">
            <w:pPr>
              <w:numPr>
                <w:ilvl w:val="0"/>
                <w:numId w:val="0"/>
              </w:numPr>
              <w:rPr>
                <w:rFonts w:hint="eastAsia" w:ascii="楷体" w:hAnsi="楷体" w:eastAsia="楷体" w:cs="楷体"/>
                <w:i w:val="0"/>
                <w:iCs w:val="0"/>
                <w:caps w:val="0"/>
                <w:color w:val="000000"/>
                <w:spacing w:val="0"/>
                <w:sz w:val="28"/>
                <w:szCs w:val="28"/>
                <w:shd w:val="clear" w:color="auto" w:fill="FFFFFF"/>
                <w:vertAlign w:val="baseline"/>
                <w:lang w:val="en-US" w:eastAsia="zh-CN"/>
              </w:rPr>
            </w:pPr>
          </w:p>
        </w:tc>
      </w:tr>
      <w:tr w14:paraId="2B89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020B217A">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二、实施方案与过程</w:t>
            </w:r>
          </w:p>
          <w:p w14:paraId="466513CF">
            <w:pPr>
              <w:numPr>
                <w:ilvl w:val="0"/>
                <w:numId w:val="0"/>
              </w:numPr>
              <w:rPr>
                <w:rFonts w:hint="eastAsia" w:ascii="楷体" w:hAnsi="楷体" w:eastAsia="楷体" w:cs="楷体"/>
                <w:i w:val="0"/>
                <w:iCs w:val="0"/>
                <w:caps w:val="0"/>
                <w:color w:val="000000"/>
                <w:spacing w:val="0"/>
                <w:sz w:val="28"/>
                <w:szCs w:val="28"/>
                <w:shd w:val="clear" w:color="auto" w:fill="FFFFFF"/>
                <w:vertAlign w:val="baseline"/>
                <w:lang w:val="en-US" w:eastAsia="zh-CN"/>
              </w:rPr>
            </w:pPr>
            <w:r>
              <w:rPr>
                <w:rFonts w:hint="eastAsia" w:ascii="楷体" w:hAnsi="楷体" w:eastAsia="楷体" w:cs="楷体"/>
                <w:i w:val="0"/>
                <w:iCs w:val="0"/>
                <w:caps w:val="0"/>
                <w:color w:val="000000"/>
                <w:spacing w:val="0"/>
                <w:sz w:val="28"/>
                <w:szCs w:val="28"/>
                <w:shd w:val="clear" w:color="auto" w:fill="FFFFFF"/>
                <w:vertAlign w:val="baseline"/>
                <w:lang w:val="en-US" w:eastAsia="zh-CN"/>
              </w:rPr>
              <w:t>（</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技术工具/平台</w:t>
            </w:r>
            <w:r>
              <w:rPr>
                <w:rFonts w:hint="eastAsia" w:ascii="楷体" w:hAnsi="楷体" w:eastAsia="楷体" w:cs="楷体"/>
                <w:i w:val="0"/>
                <w:iCs w:val="0"/>
                <w:caps w:val="0"/>
                <w:color w:val="000000"/>
                <w:spacing w:val="0"/>
                <w:sz w:val="28"/>
                <w:szCs w:val="28"/>
                <w:shd w:val="clear" w:color="auto" w:fill="FFFFFF"/>
                <w:vertAlign w:val="baseline"/>
                <w:lang w:val="en-US" w:eastAsia="zh-CN"/>
              </w:rPr>
              <w:t>：说明所采用的人工智能技术类型及具体工具、平台或系统名称（若是自研请注明）。</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应用场景描述</w:t>
            </w:r>
            <w:r>
              <w:rPr>
                <w:rFonts w:hint="eastAsia" w:ascii="楷体" w:hAnsi="楷体" w:eastAsia="楷体" w:cs="楷体"/>
                <w:i w:val="0"/>
                <w:iCs w:val="0"/>
                <w:caps w:val="0"/>
                <w:color w:val="000000"/>
                <w:spacing w:val="0"/>
                <w:sz w:val="28"/>
                <w:szCs w:val="28"/>
                <w:shd w:val="clear" w:color="auto" w:fill="FFFFFF"/>
                <w:vertAlign w:val="baseline"/>
                <w:lang w:val="en-US" w:eastAsia="zh-CN"/>
              </w:rPr>
              <w:t>：详细描述人工智能技术具体应用于哪个教育环节或场景。阐述应用的具体模式、流程与方法。</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实施步骤与时间线</w:t>
            </w:r>
            <w:r>
              <w:rPr>
                <w:rFonts w:hint="eastAsia" w:ascii="楷体" w:hAnsi="楷体" w:eastAsia="楷体" w:cs="楷体"/>
                <w:i w:val="0"/>
                <w:iCs w:val="0"/>
                <w:caps w:val="0"/>
                <w:color w:val="000000"/>
                <w:spacing w:val="0"/>
                <w:sz w:val="28"/>
                <w:szCs w:val="28"/>
                <w:shd w:val="clear" w:color="auto" w:fill="FFFFFF"/>
                <w:vertAlign w:val="baseline"/>
                <w:lang w:val="en-US" w:eastAsia="zh-CN"/>
              </w:rPr>
              <w:t>：清晰说明案例从启动到落地的关键步骤、各阶段主要工作内容及大致时间安排。</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团队与保障</w:t>
            </w:r>
            <w:r>
              <w:rPr>
                <w:rFonts w:hint="eastAsia" w:ascii="楷体" w:hAnsi="楷体" w:eastAsia="楷体" w:cs="楷体"/>
                <w:i w:val="0"/>
                <w:iCs w:val="0"/>
                <w:caps w:val="0"/>
                <w:color w:val="000000"/>
                <w:spacing w:val="0"/>
                <w:sz w:val="28"/>
                <w:szCs w:val="28"/>
                <w:shd w:val="clear" w:color="auto" w:fill="FFFFFF"/>
                <w:vertAlign w:val="baseline"/>
                <w:lang w:val="en-US" w:eastAsia="zh-CN"/>
              </w:rPr>
              <w:t>：介绍项目实施团队构成以及为确保项目顺利实施所采取的条件保障措施。）</w:t>
            </w:r>
          </w:p>
          <w:p w14:paraId="23E0B8A5">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0EC11296">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35875836">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2AE45692">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6D60A8C8">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tc>
      </w:tr>
      <w:tr w14:paraId="65FC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100A2297">
            <w:pPr>
              <w:numPr>
                <w:ilvl w:val="0"/>
                <w:numId w:val="1"/>
              </w:numP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创新亮点与特色</w:t>
            </w:r>
          </w:p>
          <w:p w14:paraId="586275F5">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楷体" w:hAnsi="楷体" w:eastAsia="楷体" w:cs="楷体"/>
                <w:i w:val="0"/>
                <w:iCs w:val="0"/>
                <w:caps w:val="0"/>
                <w:color w:val="000000"/>
                <w:spacing w:val="0"/>
                <w:sz w:val="28"/>
                <w:szCs w:val="28"/>
                <w:shd w:val="clear" w:color="auto" w:fill="FFFFFF"/>
                <w:vertAlign w:val="baseline"/>
                <w:lang w:val="en-US" w:eastAsia="zh-CN"/>
              </w:rPr>
              <w:t>（</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模式/方法创新</w:t>
            </w:r>
            <w:r>
              <w:rPr>
                <w:rFonts w:hint="eastAsia" w:ascii="楷体" w:hAnsi="楷体" w:eastAsia="楷体" w:cs="楷体"/>
                <w:b w:val="0"/>
                <w:bCs w:val="0"/>
                <w:i w:val="0"/>
                <w:iCs w:val="0"/>
                <w:caps w:val="0"/>
                <w:color w:val="000000"/>
                <w:spacing w:val="0"/>
                <w:sz w:val="28"/>
                <w:szCs w:val="28"/>
                <w:shd w:val="clear" w:color="auto" w:fill="FFFFFF"/>
                <w:vertAlign w:val="baseline"/>
                <w:lang w:val="en-US" w:eastAsia="zh-CN"/>
              </w:rPr>
              <w:t>：对比传统方式，本案例在教育教学模式、管理服务方法等方面有何创新之处。</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技术应用创新</w:t>
            </w:r>
            <w:r>
              <w:rPr>
                <w:rFonts w:hint="eastAsia" w:ascii="楷体" w:hAnsi="楷体" w:eastAsia="楷体" w:cs="楷体"/>
                <w:b w:val="0"/>
                <w:bCs w:val="0"/>
                <w:i w:val="0"/>
                <w:iCs w:val="0"/>
                <w:caps w:val="0"/>
                <w:color w:val="000000"/>
                <w:spacing w:val="0"/>
                <w:sz w:val="28"/>
                <w:szCs w:val="28"/>
                <w:shd w:val="clear" w:color="auto" w:fill="FFFFFF"/>
                <w:vertAlign w:val="baseline"/>
                <w:lang w:val="en-US" w:eastAsia="zh-CN"/>
              </w:rPr>
              <w:t>：本案例在人工智能技术的选择、融合、应用深度或自主开发方面有何特色或先进性。</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机制/策略创新</w:t>
            </w:r>
            <w:r>
              <w:rPr>
                <w:rFonts w:hint="eastAsia" w:ascii="楷体" w:hAnsi="楷体" w:eastAsia="楷体" w:cs="楷体"/>
                <w:b w:val="0"/>
                <w:bCs w:val="0"/>
                <w:i w:val="0"/>
                <w:iCs w:val="0"/>
                <w:caps w:val="0"/>
                <w:color w:val="000000"/>
                <w:spacing w:val="0"/>
                <w:sz w:val="28"/>
                <w:szCs w:val="28"/>
                <w:shd w:val="clear" w:color="auto" w:fill="FFFFFF"/>
                <w:vertAlign w:val="baseline"/>
                <w:lang w:val="en-US" w:eastAsia="zh-CN"/>
              </w:rPr>
              <w:t>：在推进应用落地、促进师生接受度、保障可持续发展等方面有何创新性的机制或策略</w:t>
            </w:r>
            <w:r>
              <w:rPr>
                <w:rFonts w:hint="eastAsia" w:ascii="楷体" w:hAnsi="楷体" w:eastAsia="楷体" w:cs="楷体"/>
                <w:i w:val="0"/>
                <w:iCs w:val="0"/>
                <w:caps w:val="0"/>
                <w:color w:val="000000"/>
                <w:spacing w:val="0"/>
                <w:sz w:val="28"/>
                <w:szCs w:val="28"/>
                <w:shd w:val="clear" w:color="auto" w:fill="FFFFFF"/>
                <w:vertAlign w:val="baseline"/>
                <w:lang w:val="en-US" w:eastAsia="zh-CN"/>
              </w:rPr>
              <w:t>。）</w:t>
            </w:r>
          </w:p>
          <w:p w14:paraId="6BAF35E3">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6D52FDB4">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60310A0B">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2344DA2B">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tc>
      </w:tr>
      <w:tr w14:paraId="0DC8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49B7DF19">
            <w:pPr>
              <w:numPr>
                <w:ilvl w:val="0"/>
                <w:numId w:val="1"/>
              </w:numPr>
              <w:ind w:left="0" w:leftChars="0" w:firstLine="0" w:firstLine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应用成效与影响</w:t>
            </w:r>
          </w:p>
          <w:p w14:paraId="7C04CAD7">
            <w:pPr>
              <w:numPr>
                <w:ilvl w:val="0"/>
                <w:numId w:val="0"/>
              </w:numPr>
              <w:rPr>
                <w:rFonts w:hint="eastAsia" w:ascii="楷体" w:hAnsi="楷体" w:eastAsia="楷体" w:cs="楷体"/>
                <w:i w:val="0"/>
                <w:iCs w:val="0"/>
                <w:caps w:val="0"/>
                <w:color w:val="000000"/>
                <w:spacing w:val="0"/>
                <w:sz w:val="28"/>
                <w:szCs w:val="28"/>
                <w:shd w:val="clear" w:color="auto" w:fill="FFFFFF"/>
                <w:vertAlign w:val="baseline"/>
                <w:lang w:val="en-US" w:eastAsia="zh-CN"/>
              </w:rPr>
            </w:pPr>
            <w:r>
              <w:rPr>
                <w:rFonts w:hint="eastAsia" w:ascii="楷体" w:hAnsi="楷体" w:eastAsia="楷体" w:cs="楷体"/>
                <w:i w:val="0"/>
                <w:iCs w:val="0"/>
                <w:caps w:val="0"/>
                <w:color w:val="000000"/>
                <w:spacing w:val="0"/>
                <w:sz w:val="28"/>
                <w:szCs w:val="28"/>
                <w:shd w:val="clear" w:color="auto" w:fill="FFFFFF"/>
                <w:vertAlign w:val="baseline"/>
                <w:lang w:val="en-US" w:eastAsia="zh-CN"/>
              </w:rPr>
              <w:t>（</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数据支撑的成效</w:t>
            </w:r>
            <w:r>
              <w:rPr>
                <w:rFonts w:hint="eastAsia" w:ascii="楷体" w:hAnsi="楷体" w:eastAsia="楷体" w:cs="楷体"/>
                <w:i w:val="0"/>
                <w:iCs w:val="0"/>
                <w:caps w:val="0"/>
                <w:color w:val="000000"/>
                <w:spacing w:val="0"/>
                <w:sz w:val="28"/>
                <w:szCs w:val="28"/>
                <w:shd w:val="clear" w:color="auto" w:fill="FFFFFF"/>
                <w:vertAlign w:val="baseline"/>
                <w:lang w:val="en-US" w:eastAsia="zh-CN"/>
              </w:rPr>
              <w:t>：用具体数据和事实说明案例应用后产生的效果,如效率提升、质量提高、范围覆盖、满意度等。</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质性描述的影响</w:t>
            </w:r>
            <w:r>
              <w:rPr>
                <w:rFonts w:hint="eastAsia" w:ascii="楷体" w:hAnsi="楷体" w:eastAsia="楷体" w:cs="楷体"/>
                <w:i w:val="0"/>
                <w:iCs w:val="0"/>
                <w:caps w:val="0"/>
                <w:color w:val="000000"/>
                <w:spacing w:val="0"/>
                <w:sz w:val="28"/>
                <w:szCs w:val="28"/>
                <w:shd w:val="clear" w:color="auto" w:fill="FFFFFF"/>
                <w:vertAlign w:val="baseline"/>
                <w:lang w:val="en-US" w:eastAsia="zh-CN"/>
              </w:rPr>
              <w:t>：描述案例对师生成长、学校发展、教育生态等方面产生的积极影响。</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示范价值与可推广性</w:t>
            </w:r>
            <w:r>
              <w:rPr>
                <w:rFonts w:hint="eastAsia" w:ascii="楷体" w:hAnsi="楷体" w:eastAsia="楷体" w:cs="楷体"/>
                <w:i w:val="0"/>
                <w:iCs w:val="0"/>
                <w:caps w:val="0"/>
                <w:color w:val="000000"/>
                <w:spacing w:val="0"/>
                <w:sz w:val="28"/>
                <w:szCs w:val="28"/>
                <w:shd w:val="clear" w:color="auto" w:fill="FFFFFF"/>
                <w:vertAlign w:val="baseline"/>
                <w:lang w:val="en-US" w:eastAsia="zh-CN"/>
              </w:rPr>
              <w:t>：分析本案例的经验模式是否具备可复制性、可推广性，对其他学校或地区的借鉴意义何在。）</w:t>
            </w:r>
          </w:p>
          <w:p w14:paraId="2288B3AD">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67945390">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05072486">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32DEC352">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tc>
      </w:tr>
      <w:tr w14:paraId="3485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8" w:hRule="atLeast"/>
        </w:trPr>
        <w:tc>
          <w:tcPr>
            <w:tcW w:w="8522" w:type="dxa"/>
            <w:gridSpan w:val="4"/>
            <w:noWrap w:val="0"/>
            <w:vAlign w:val="top"/>
          </w:tcPr>
          <w:p w14:paraId="13BB90DC">
            <w:pPr>
              <w:numPr>
                <w:ilvl w:val="0"/>
                <w:numId w:val="1"/>
              </w:numPr>
              <w:ind w:left="0" w:leftChars="0" w:firstLine="0" w:firstLine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t>挑战与反思</w:t>
            </w:r>
          </w:p>
          <w:p w14:paraId="12FA2D46">
            <w:pPr>
              <w:numPr>
                <w:ilvl w:val="0"/>
                <w:numId w:val="0"/>
              </w:numPr>
              <w:rPr>
                <w:rFonts w:hint="eastAsia" w:ascii="楷体" w:hAnsi="楷体" w:eastAsia="楷体" w:cs="楷体"/>
                <w:i w:val="0"/>
                <w:iCs w:val="0"/>
                <w:caps w:val="0"/>
                <w:color w:val="000000"/>
                <w:spacing w:val="0"/>
                <w:sz w:val="28"/>
                <w:szCs w:val="28"/>
                <w:shd w:val="clear" w:color="auto" w:fill="FFFFFF"/>
                <w:vertAlign w:val="baseline"/>
                <w:lang w:val="en-US" w:eastAsia="zh-CN"/>
              </w:rPr>
            </w:pPr>
            <w:r>
              <w:rPr>
                <w:rFonts w:hint="eastAsia" w:ascii="楷体" w:hAnsi="楷体" w:eastAsia="楷体" w:cs="楷体"/>
                <w:i w:val="0"/>
                <w:iCs w:val="0"/>
                <w:caps w:val="0"/>
                <w:color w:val="000000"/>
                <w:spacing w:val="0"/>
                <w:sz w:val="28"/>
                <w:szCs w:val="28"/>
                <w:shd w:val="clear" w:color="auto" w:fill="FFFFFF"/>
                <w:vertAlign w:val="baseline"/>
                <w:lang w:val="en-US" w:eastAsia="zh-CN"/>
              </w:rPr>
              <w:t>（</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遇到的困难与挑战</w:t>
            </w:r>
            <w:r>
              <w:rPr>
                <w:rFonts w:hint="eastAsia" w:ascii="楷体" w:hAnsi="楷体" w:eastAsia="楷体" w:cs="楷体"/>
                <w:i w:val="0"/>
                <w:iCs w:val="0"/>
                <w:caps w:val="0"/>
                <w:color w:val="000000"/>
                <w:spacing w:val="0"/>
                <w:sz w:val="28"/>
                <w:szCs w:val="28"/>
                <w:shd w:val="clear" w:color="auto" w:fill="FFFFFF"/>
                <w:vertAlign w:val="baseline"/>
                <w:lang w:val="en-US" w:eastAsia="zh-CN"/>
              </w:rPr>
              <w:t>：诚实总结在案例实施过程中遇到的主要困难（如技术、资金、人员、观念、数据安全与隐私等方面的挑战）及应对策略。</w:t>
            </w:r>
            <w:r>
              <w:rPr>
                <w:rFonts w:hint="eastAsia" w:ascii="楷体" w:hAnsi="楷体" w:eastAsia="楷体" w:cs="楷体"/>
                <w:b/>
                <w:bCs/>
                <w:i w:val="0"/>
                <w:iCs w:val="0"/>
                <w:caps w:val="0"/>
                <w:color w:val="000000"/>
                <w:spacing w:val="0"/>
                <w:sz w:val="28"/>
                <w:szCs w:val="28"/>
                <w:shd w:val="clear" w:color="auto" w:fill="FFFFFF"/>
                <w:vertAlign w:val="baseline"/>
                <w:lang w:val="en-US" w:eastAsia="zh-CN"/>
              </w:rPr>
              <w:t>不足与改进方向</w:t>
            </w:r>
            <w:r>
              <w:rPr>
                <w:rFonts w:hint="eastAsia" w:ascii="楷体" w:hAnsi="楷体" w:eastAsia="楷体" w:cs="楷体"/>
                <w:i w:val="0"/>
                <w:iCs w:val="0"/>
                <w:caps w:val="0"/>
                <w:color w:val="000000"/>
                <w:spacing w:val="0"/>
                <w:sz w:val="28"/>
                <w:szCs w:val="28"/>
                <w:shd w:val="clear" w:color="auto" w:fill="FFFFFF"/>
                <w:vertAlign w:val="baseline"/>
                <w:lang w:val="en-US" w:eastAsia="zh-CN"/>
              </w:rPr>
              <w:t>：分析案例目前存在的不足之处，以及下一步计划如何优化和完善。）</w:t>
            </w:r>
          </w:p>
          <w:p w14:paraId="18B2FC8A">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71BC3A13">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439E98BA">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4DDC43BB">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p w14:paraId="550DD718">
            <w:pPr>
              <w:numPr>
                <w:ilvl w:val="0"/>
                <w:numId w:val="0"/>
              </w:numPr>
              <w:ind w:leftChars="0"/>
              <w:rPr>
                <w:rFonts w:hint="eastAsia" w:ascii="仿宋_GB2312" w:hAnsi="仿宋_GB2312" w:eastAsia="仿宋_GB2312" w:cs="仿宋_GB2312"/>
                <w:i w:val="0"/>
                <w:iCs w:val="0"/>
                <w:caps w:val="0"/>
                <w:color w:val="000000"/>
                <w:spacing w:val="0"/>
                <w:sz w:val="28"/>
                <w:szCs w:val="28"/>
                <w:shd w:val="clear" w:color="auto" w:fill="FFFFFF"/>
                <w:vertAlign w:val="baseline"/>
                <w:lang w:val="en-US" w:eastAsia="zh-CN"/>
              </w:rPr>
            </w:pPr>
          </w:p>
        </w:tc>
      </w:tr>
    </w:tbl>
    <w:p w14:paraId="5153E724"/>
    <w:sectPr>
      <w:footerReference r:id="rId3"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B0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DD2AE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DD2A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C6A27"/>
    <w:multiLevelType w:val="singleLevel"/>
    <w:tmpl w:val="EE3C6A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D1F25"/>
    <w:rsid w:val="45E01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810</Words>
  <Characters>810</Characters>
  <Lines>0</Lines>
  <Paragraphs>0</Paragraphs>
  <TotalTime>0</TotalTime>
  <ScaleCrop>false</ScaleCrop>
  <LinksUpToDate>false</LinksUpToDate>
  <CharactersWithSpaces>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2025-11-20T07:00:06Z</dcterms:created>
  <dc:creator>vdmin</dc:creator>
  <cp:lastModifiedBy>似是而非</cp:lastModifiedBy>
  <dcterms:modified xsi:type="dcterms:W3CDTF">2025-11-20T07:34:31Z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eyJoZGlkIjoiMzY1ZTBkY2Q0ZDMwODQ2NWI2Mzc3YjgyYTdjMGI1ZTUiLCJ1c2VySWQiOiI1OTkyNzIwMTAifQ==</vt:lpwstr>
  </property>
  <property fmtid="{D5CDD505-2E9C-101B-9397-08002B2CF9AE}" pid="4" name="ICV">
    <vt:lpwstr>BC667D8A03D743888EC8A85863A10085_13</vt:lpwstr>
  </property>
</Properties>
</file>