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BD2DE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line="360" w:lineRule="auto"/>
        <w:ind w:left="0" w:firstLine="0"/>
        <w:jc w:val="center"/>
        <w:textAlignment w:val="auto"/>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shd w:val="clear" w:fill="FFFFFF"/>
          <w:lang w:val="en-US" w:eastAsia="zh-CN" w:bidi="ar"/>
        </w:rPr>
        <w:t>关于开展常州市“2·15专项行动”创新实验项目申报工作的通知</w:t>
      </w:r>
    </w:p>
    <w:p w14:paraId="435F46B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z w:val="24"/>
          <w:szCs w:val="24"/>
        </w:rPr>
      </w:pPr>
      <w:r>
        <w:rPr>
          <w:rFonts w:hint="eastAsia" w:ascii="宋体" w:hAnsi="宋体" w:eastAsia="宋体" w:cs="宋体"/>
          <w:i w:val="0"/>
          <w:iCs w:val="0"/>
          <w:caps w:val="0"/>
          <w:color w:val="313131"/>
          <w:spacing w:val="0"/>
          <w:sz w:val="24"/>
          <w:szCs w:val="24"/>
          <w:shd w:val="clear" w:fill="FFFFFF"/>
        </w:rPr>
        <w:t>各辖市(区)教育局、经开区教育和文体旅局、各辖市(区)教师发展中心、各局属初中校：</w:t>
      </w:r>
    </w:p>
    <w:p w14:paraId="5EDB621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1"/>
        <w:textAlignment w:val="auto"/>
        <w:rPr>
          <w:rFonts w:hint="eastAsia" w:ascii="宋体" w:hAnsi="宋体" w:eastAsia="宋体" w:cs="宋体"/>
          <w:sz w:val="24"/>
          <w:szCs w:val="24"/>
        </w:rPr>
      </w:pPr>
      <w:r>
        <w:rPr>
          <w:rFonts w:hint="eastAsia" w:ascii="宋体" w:hAnsi="宋体" w:eastAsia="宋体" w:cs="宋体"/>
          <w:i w:val="0"/>
          <w:iCs w:val="0"/>
          <w:caps w:val="0"/>
          <w:color w:val="313131"/>
          <w:spacing w:val="0"/>
          <w:sz w:val="24"/>
          <w:szCs w:val="24"/>
          <w:shd w:val="clear" w:fill="FFFFFF"/>
        </w:rPr>
        <w:t>为深入贯彻落实《江苏省教育厅关于在义务教育学校实施“2·15专项行动”的通知》精神，推动我市义务教育阶段学校体育工作高质量发展，经研究，决定开展我市义务教育阶段学校“2·15专项行动”创新实验项目（以下简称"实验项目）申报展示工作。现将有关事项通知如下。</w:t>
      </w:r>
    </w:p>
    <w:p w14:paraId="494CF59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94"/>
        <w:textAlignment w:val="auto"/>
        <w:rPr>
          <w:rFonts w:hint="eastAsia" w:ascii="宋体" w:hAnsi="宋体" w:eastAsia="宋体" w:cs="宋体"/>
          <w:sz w:val="24"/>
          <w:szCs w:val="24"/>
        </w:rPr>
      </w:pPr>
      <w:r>
        <w:rPr>
          <w:rStyle w:val="5"/>
          <w:rFonts w:hint="eastAsia" w:ascii="宋体" w:hAnsi="宋体" w:eastAsia="宋体" w:cs="宋体"/>
          <w:i w:val="0"/>
          <w:iCs w:val="0"/>
          <w:caps w:val="0"/>
          <w:color w:val="313131"/>
          <w:spacing w:val="0"/>
          <w:sz w:val="24"/>
          <w:szCs w:val="24"/>
          <w:shd w:val="clear" w:fill="FFFFFF"/>
        </w:rPr>
        <w:t>一、目标要求</w:t>
      </w:r>
    </w:p>
    <w:p w14:paraId="2F53DE4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1"/>
        <w:textAlignment w:val="auto"/>
        <w:rPr>
          <w:rFonts w:hint="eastAsia" w:ascii="宋体" w:hAnsi="宋体" w:eastAsia="宋体" w:cs="宋体"/>
          <w:sz w:val="24"/>
          <w:szCs w:val="24"/>
        </w:rPr>
      </w:pPr>
      <w:r>
        <w:rPr>
          <w:rFonts w:hint="eastAsia" w:ascii="宋体" w:hAnsi="宋体" w:eastAsia="宋体" w:cs="宋体"/>
          <w:i w:val="0"/>
          <w:iCs w:val="0"/>
          <w:caps w:val="0"/>
          <w:color w:val="313131"/>
          <w:spacing w:val="0"/>
          <w:sz w:val="24"/>
          <w:szCs w:val="24"/>
          <w:shd w:val="clear" w:fill="FFFFFF"/>
        </w:rPr>
        <w:t>在全市遴选</w:t>
      </w:r>
      <w:r>
        <w:rPr>
          <w:rStyle w:val="5"/>
          <w:rFonts w:hint="eastAsia" w:ascii="宋体" w:hAnsi="宋体" w:eastAsia="宋体" w:cs="宋体"/>
          <w:i w:val="0"/>
          <w:iCs w:val="0"/>
          <w:caps w:val="0"/>
          <w:color w:val="313131"/>
          <w:spacing w:val="0"/>
          <w:sz w:val="24"/>
          <w:szCs w:val="24"/>
          <w:shd w:val="clear" w:fill="FFFFFF"/>
        </w:rPr>
        <w:t>50</w:t>
      </w:r>
      <w:r>
        <w:rPr>
          <w:rFonts w:hint="eastAsia" w:ascii="宋体" w:hAnsi="宋体" w:eastAsia="宋体" w:cs="宋体"/>
          <w:i w:val="0"/>
          <w:iCs w:val="0"/>
          <w:caps w:val="0"/>
          <w:color w:val="313131"/>
          <w:spacing w:val="0"/>
          <w:sz w:val="24"/>
          <w:szCs w:val="24"/>
          <w:shd w:val="clear" w:fill="FFFFFF"/>
        </w:rPr>
        <w:t>个实验项目，围绕"2·15专项行动"重点领域和核心任务开展创新实践，通过三年的探索研究，总结凝练以体育人的典型创新经验和优秀案例，通过示范、复制、辐射、推广带动全市义务教育阶段学校体育工作质量整体提升。</w:t>
      </w:r>
    </w:p>
    <w:p w14:paraId="21BF3A1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94"/>
        <w:textAlignment w:val="auto"/>
        <w:rPr>
          <w:rFonts w:hint="eastAsia" w:ascii="宋体" w:hAnsi="宋体" w:eastAsia="宋体" w:cs="宋体"/>
          <w:sz w:val="24"/>
          <w:szCs w:val="24"/>
        </w:rPr>
      </w:pPr>
      <w:r>
        <w:rPr>
          <w:rStyle w:val="5"/>
          <w:rFonts w:hint="eastAsia" w:ascii="宋体" w:hAnsi="宋体" w:eastAsia="宋体" w:cs="宋体"/>
          <w:i w:val="0"/>
          <w:iCs w:val="0"/>
          <w:caps w:val="0"/>
          <w:color w:val="313131"/>
          <w:spacing w:val="0"/>
          <w:sz w:val="24"/>
          <w:szCs w:val="24"/>
          <w:shd w:val="clear" w:fill="FFFFFF"/>
        </w:rPr>
        <w:t>二、重点任务</w:t>
      </w:r>
    </w:p>
    <w:p w14:paraId="6DA3624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1"/>
        <w:textAlignment w:val="auto"/>
        <w:rPr>
          <w:rFonts w:hint="eastAsia" w:ascii="宋体" w:hAnsi="宋体" w:eastAsia="宋体" w:cs="宋体"/>
          <w:sz w:val="24"/>
          <w:szCs w:val="24"/>
        </w:rPr>
      </w:pPr>
      <w:r>
        <w:rPr>
          <w:rFonts w:hint="eastAsia" w:ascii="宋体" w:hAnsi="宋体" w:eastAsia="宋体" w:cs="宋体"/>
          <w:i w:val="0"/>
          <w:iCs w:val="0"/>
          <w:caps w:val="0"/>
          <w:color w:val="313131"/>
          <w:spacing w:val="0"/>
          <w:sz w:val="24"/>
          <w:szCs w:val="24"/>
          <w:shd w:val="clear" w:fill="FFFFFF"/>
        </w:rPr>
        <w:t>本次实验项目主要设立五个类别，即课程教学改革深化、学生体质健康提升、教师专业素养发展、社团运动队伍建设、学校体育文化营造。</w:t>
      </w:r>
    </w:p>
    <w:p w14:paraId="4A707D1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1"/>
        <w:textAlignment w:val="auto"/>
        <w:rPr>
          <w:rFonts w:hint="eastAsia" w:ascii="宋体" w:hAnsi="宋体" w:eastAsia="宋体" w:cs="宋体"/>
          <w:sz w:val="24"/>
          <w:szCs w:val="24"/>
        </w:rPr>
      </w:pPr>
      <w:r>
        <w:rPr>
          <w:rFonts w:hint="eastAsia" w:ascii="宋体" w:hAnsi="宋体" w:eastAsia="宋体" w:cs="宋体"/>
          <w:i w:val="0"/>
          <w:iCs w:val="0"/>
          <w:caps w:val="0"/>
          <w:color w:val="313131"/>
          <w:spacing w:val="0"/>
          <w:sz w:val="24"/>
          <w:szCs w:val="24"/>
          <w:shd w:val="clear" w:fill="FFFFFF"/>
        </w:rPr>
        <w:t>（一）课程教学改革深化</w:t>
      </w:r>
    </w:p>
    <w:p w14:paraId="3FB6034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1"/>
        <w:textAlignment w:val="auto"/>
        <w:rPr>
          <w:rFonts w:hint="eastAsia" w:ascii="宋体" w:hAnsi="宋体" w:eastAsia="宋体" w:cs="宋体"/>
          <w:sz w:val="24"/>
          <w:szCs w:val="24"/>
        </w:rPr>
      </w:pPr>
      <w:r>
        <w:rPr>
          <w:rFonts w:hint="eastAsia" w:ascii="宋体" w:hAnsi="宋体" w:eastAsia="宋体" w:cs="宋体"/>
          <w:i w:val="0"/>
          <w:iCs w:val="0"/>
          <w:caps w:val="0"/>
          <w:color w:val="313131"/>
          <w:spacing w:val="0"/>
          <w:sz w:val="24"/>
          <w:szCs w:val="24"/>
          <w:shd w:val="clear" w:fill="FFFFFF"/>
        </w:rPr>
        <w:t>系统规划并实施好体育课程。制订能高质量实施国家课程且符合校情的体育课程方案，明确学校体育课程的施工图。聚焦核心素养，强调以体育人的学科本质和五育融合的实践路径，强化“面向人人”“激发兴趣与潜能”“以学定教”，注重差异化教学与个性化指导。构建评价内容多样、评价方式多样、评价主体多元的评价体系，充分发挥其反馈、导向、激励和改进功能。定期开展校本教研活动，深耕教学实践，追寻常享好课，形成驱动常态课堂质效提升的机制。</w:t>
      </w:r>
    </w:p>
    <w:p w14:paraId="139070B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1"/>
        <w:textAlignment w:val="auto"/>
        <w:rPr>
          <w:rFonts w:hint="eastAsia" w:ascii="宋体" w:hAnsi="宋体" w:eastAsia="宋体" w:cs="宋体"/>
          <w:sz w:val="24"/>
          <w:szCs w:val="24"/>
        </w:rPr>
      </w:pPr>
      <w:r>
        <w:rPr>
          <w:rFonts w:hint="eastAsia" w:ascii="宋体" w:hAnsi="宋体" w:eastAsia="宋体" w:cs="宋体"/>
          <w:i w:val="0"/>
          <w:iCs w:val="0"/>
          <w:caps w:val="0"/>
          <w:color w:val="313131"/>
          <w:spacing w:val="0"/>
          <w:sz w:val="24"/>
          <w:szCs w:val="24"/>
          <w:shd w:val="clear" w:fill="FFFFFF"/>
        </w:rPr>
        <w:t>（二）学生体质健康提升</w:t>
      </w:r>
    </w:p>
    <w:p w14:paraId="1ACE439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1"/>
        <w:textAlignment w:val="auto"/>
        <w:rPr>
          <w:rFonts w:hint="eastAsia" w:ascii="宋体" w:hAnsi="宋体" w:eastAsia="宋体" w:cs="宋体"/>
          <w:sz w:val="24"/>
          <w:szCs w:val="24"/>
        </w:rPr>
      </w:pPr>
      <w:r>
        <w:rPr>
          <w:rFonts w:hint="eastAsia" w:ascii="宋体" w:hAnsi="宋体" w:eastAsia="宋体" w:cs="宋体"/>
          <w:i w:val="0"/>
          <w:iCs w:val="0"/>
          <w:caps w:val="0"/>
          <w:color w:val="313131"/>
          <w:spacing w:val="0"/>
          <w:sz w:val="24"/>
          <w:szCs w:val="24"/>
          <w:shd w:val="clear" w:fill="FFFFFF"/>
        </w:rPr>
        <w:t>科学构建学生体质健康促进体系。建立健全学生个体体质健康电子档案，形成校级评价分析报告。加强数据监测与结果应用，借助AI定期分析体质变化趋势及原因，指导教学改进与健康管理，并建立精准干预措施。研究多种途径和方法提升学生体能与技能，有效缓解学生“四小”问题，激发学生生命活力，促进学习效率的提高。建立预防为主、干预为辅的协同工作机制，从“健康中国”的角度构建家校社协同育人机制，激发家庭成员、全校教师、社区人员的健康意识和锻炼内驱力，整体带动学生体质健康水平提升。</w:t>
      </w:r>
    </w:p>
    <w:p w14:paraId="30BFEF1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1"/>
        <w:textAlignment w:val="auto"/>
        <w:rPr>
          <w:rFonts w:hint="eastAsia" w:ascii="宋体" w:hAnsi="宋体" w:eastAsia="宋体" w:cs="宋体"/>
          <w:sz w:val="24"/>
          <w:szCs w:val="24"/>
        </w:rPr>
      </w:pPr>
      <w:r>
        <w:rPr>
          <w:rFonts w:hint="eastAsia" w:ascii="宋体" w:hAnsi="宋体" w:eastAsia="宋体" w:cs="宋体"/>
          <w:i w:val="0"/>
          <w:iCs w:val="0"/>
          <w:caps w:val="0"/>
          <w:color w:val="313131"/>
          <w:spacing w:val="0"/>
          <w:sz w:val="24"/>
          <w:szCs w:val="24"/>
          <w:shd w:val="clear" w:fill="FFFFFF"/>
        </w:rPr>
        <w:t>（三）教师专业素养发展</w:t>
      </w:r>
    </w:p>
    <w:p w14:paraId="27F35C3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1"/>
        <w:textAlignment w:val="auto"/>
        <w:rPr>
          <w:rFonts w:hint="eastAsia" w:ascii="宋体" w:hAnsi="宋体" w:eastAsia="宋体" w:cs="宋体"/>
          <w:sz w:val="24"/>
          <w:szCs w:val="24"/>
        </w:rPr>
      </w:pPr>
      <w:r>
        <w:rPr>
          <w:rFonts w:hint="eastAsia" w:ascii="宋体" w:hAnsi="宋体" w:eastAsia="宋体" w:cs="宋体"/>
          <w:i w:val="0"/>
          <w:iCs w:val="0"/>
          <w:caps w:val="0"/>
          <w:color w:val="313131"/>
          <w:spacing w:val="0"/>
          <w:sz w:val="24"/>
          <w:szCs w:val="24"/>
          <w:shd w:val="clear" w:fill="FFFFFF"/>
        </w:rPr>
        <w:t>制订与学校“一训三风”相一致的系统化、校本化教师发展支持路径。聚焦教学实践与运动指导，大力支持教师参与研修，提升教师教育教学能力。强化教研组功能，形成各年龄段教师职业生涯规划方案，通过团队力量促进教师专业发展。健全教师激励机制，将学生培养、师德表现、专业提升与评优晋升挂钩，营造潜心育人、追求卓越的良好生态。</w:t>
      </w:r>
    </w:p>
    <w:p w14:paraId="3105608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1"/>
        <w:textAlignment w:val="auto"/>
        <w:rPr>
          <w:rFonts w:hint="eastAsia" w:ascii="宋体" w:hAnsi="宋体" w:eastAsia="宋体" w:cs="宋体"/>
          <w:sz w:val="24"/>
          <w:szCs w:val="24"/>
        </w:rPr>
      </w:pPr>
      <w:r>
        <w:rPr>
          <w:rFonts w:hint="eastAsia" w:ascii="宋体" w:hAnsi="宋体" w:eastAsia="宋体" w:cs="宋体"/>
          <w:i w:val="0"/>
          <w:iCs w:val="0"/>
          <w:caps w:val="0"/>
          <w:color w:val="313131"/>
          <w:spacing w:val="0"/>
          <w:sz w:val="24"/>
          <w:szCs w:val="24"/>
          <w:shd w:val="clear" w:fill="FFFFFF"/>
        </w:rPr>
        <w:t>（四）社团运动队伍建设</w:t>
      </w:r>
    </w:p>
    <w:p w14:paraId="4E492E8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1"/>
        <w:textAlignment w:val="auto"/>
        <w:rPr>
          <w:rFonts w:hint="eastAsia" w:ascii="宋体" w:hAnsi="宋体" w:eastAsia="宋体" w:cs="宋体"/>
          <w:sz w:val="24"/>
          <w:szCs w:val="24"/>
        </w:rPr>
      </w:pPr>
      <w:r>
        <w:rPr>
          <w:rFonts w:hint="eastAsia" w:ascii="宋体" w:hAnsi="宋体" w:eastAsia="宋体" w:cs="宋体"/>
          <w:i w:val="0"/>
          <w:iCs w:val="0"/>
          <w:caps w:val="0"/>
          <w:color w:val="313131"/>
          <w:spacing w:val="0"/>
          <w:sz w:val="24"/>
          <w:szCs w:val="24"/>
          <w:shd w:val="clear" w:fill="FFFFFF"/>
        </w:rPr>
        <w:t>从课程的角度整体布局体育社团与运动队。设计科学有效的各层级学练赛一体化活动，注重活动设计的全员性和学生发展的差异性，让学生有更多的学练、展示、比赛、观赏等活动机会。注重体教融合，优化资源配置，完善队员选拔、注册、训练、学习、管理、升学与评估机制，确保训练和学习的全面发展。打造特色鲜明、水平领先、可持续发展的精品社团与高水平运动队。</w:t>
      </w:r>
    </w:p>
    <w:p w14:paraId="41594E5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1"/>
        <w:textAlignment w:val="auto"/>
        <w:rPr>
          <w:rFonts w:hint="eastAsia" w:ascii="宋体" w:hAnsi="宋体" w:eastAsia="宋体" w:cs="宋体"/>
          <w:sz w:val="24"/>
          <w:szCs w:val="24"/>
        </w:rPr>
      </w:pPr>
      <w:r>
        <w:rPr>
          <w:rFonts w:hint="eastAsia" w:ascii="宋体" w:hAnsi="宋体" w:eastAsia="宋体" w:cs="宋体"/>
          <w:i w:val="0"/>
          <w:iCs w:val="0"/>
          <w:caps w:val="0"/>
          <w:color w:val="313131"/>
          <w:spacing w:val="0"/>
          <w:sz w:val="24"/>
          <w:szCs w:val="24"/>
          <w:shd w:val="clear" w:fill="FFFFFF"/>
        </w:rPr>
        <w:t>（五）学校体育文化营造</w:t>
      </w:r>
    </w:p>
    <w:p w14:paraId="0E62143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1"/>
        <w:textAlignment w:val="auto"/>
        <w:rPr>
          <w:rFonts w:hint="eastAsia" w:ascii="宋体" w:hAnsi="宋体" w:eastAsia="宋体" w:cs="宋体"/>
          <w:sz w:val="24"/>
          <w:szCs w:val="24"/>
        </w:rPr>
      </w:pPr>
      <w:r>
        <w:rPr>
          <w:rFonts w:hint="eastAsia" w:ascii="宋体" w:hAnsi="宋体" w:eastAsia="宋体" w:cs="宋体"/>
          <w:i w:val="0"/>
          <w:iCs w:val="0"/>
          <w:caps w:val="0"/>
          <w:color w:val="313131"/>
          <w:spacing w:val="0"/>
          <w:sz w:val="24"/>
          <w:szCs w:val="24"/>
          <w:shd w:val="clear" w:fill="FFFFFF"/>
        </w:rPr>
        <w:t>将体育文化培育融入学校整体文化建设。打造体育特色品牌，聚焦常态化举办体育节、趣味运动会、班级联赛、体育项目展演等多元化体育活动，打造人人参与、充满活力的校园体育特色品牌。加强正确的体育价值观宣传，通过校园广播、宣传栏、升旗仪式、班会、新媒体等渠道，弘扬体育精神，讲好体育故事，宣传体育之星。提升体育场所育人质量，优化与体育有关的设施标识、文化景观、精神谱系布置。推动体育文化与德育、智育、美育、劳育深度融合，形成具有学校特色、彰显时代精神的体育文化品牌，滋养学生健康成长。</w:t>
      </w:r>
    </w:p>
    <w:p w14:paraId="728B89E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42"/>
        <w:jc w:val="both"/>
        <w:textAlignment w:val="auto"/>
        <w:rPr>
          <w:rFonts w:hint="eastAsia" w:ascii="宋体" w:hAnsi="宋体" w:eastAsia="宋体" w:cs="宋体"/>
          <w:sz w:val="24"/>
          <w:szCs w:val="24"/>
        </w:rPr>
      </w:pPr>
      <w:r>
        <w:rPr>
          <w:rStyle w:val="5"/>
          <w:rFonts w:hint="eastAsia" w:ascii="宋体" w:hAnsi="宋体" w:eastAsia="宋体" w:cs="宋体"/>
          <w:i w:val="0"/>
          <w:iCs w:val="0"/>
          <w:caps w:val="0"/>
          <w:color w:val="313131"/>
          <w:spacing w:val="0"/>
          <w:sz w:val="24"/>
          <w:szCs w:val="24"/>
          <w:shd w:val="clear" w:fill="FFFFFF"/>
        </w:rPr>
        <w:t>三、申报条件</w:t>
      </w:r>
    </w:p>
    <w:p w14:paraId="7FD364F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1"/>
        <w:jc w:val="both"/>
        <w:textAlignment w:val="auto"/>
        <w:rPr>
          <w:rFonts w:hint="eastAsia" w:ascii="宋体" w:hAnsi="宋体" w:eastAsia="宋体" w:cs="宋体"/>
          <w:sz w:val="24"/>
          <w:szCs w:val="24"/>
        </w:rPr>
      </w:pPr>
      <w:r>
        <w:rPr>
          <w:rFonts w:hint="eastAsia" w:ascii="宋体" w:hAnsi="宋体" w:eastAsia="宋体" w:cs="宋体"/>
          <w:i w:val="0"/>
          <w:iCs w:val="0"/>
          <w:caps w:val="0"/>
          <w:color w:val="313131"/>
          <w:spacing w:val="0"/>
          <w:sz w:val="24"/>
          <w:szCs w:val="24"/>
          <w:shd w:val="clear" w:fill="FFFFFF"/>
        </w:rPr>
        <w:t>（一）实验项目要体现行动导向。围绕“2·15专项行动”核心要求，聚焦重点领域和关键环节，积极落实"2·15专项行动"要求，创新行动的内容、途径和方式，并提供有力保障。</w:t>
      </w:r>
    </w:p>
    <w:p w14:paraId="3630EE0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1"/>
        <w:jc w:val="both"/>
        <w:textAlignment w:val="auto"/>
        <w:rPr>
          <w:rFonts w:hint="eastAsia" w:ascii="宋体" w:hAnsi="宋体" w:eastAsia="宋体" w:cs="宋体"/>
          <w:sz w:val="24"/>
          <w:szCs w:val="24"/>
        </w:rPr>
      </w:pPr>
      <w:r>
        <w:rPr>
          <w:rFonts w:hint="eastAsia" w:ascii="宋体" w:hAnsi="宋体" w:eastAsia="宋体" w:cs="宋体"/>
          <w:i w:val="0"/>
          <w:iCs w:val="0"/>
          <w:caps w:val="0"/>
          <w:color w:val="313131"/>
          <w:spacing w:val="0"/>
          <w:sz w:val="24"/>
          <w:szCs w:val="24"/>
          <w:shd w:val="clear" w:fill="FFFFFF"/>
        </w:rPr>
        <w:t>（二）实验项目要聚焦行动成效。瞄准目标，积极发挥以体育人学科特质，有较强的数据支撑、图文佐证和案例证据，阶段性取得可推广的有效做法和典型经验。</w:t>
      </w:r>
    </w:p>
    <w:p w14:paraId="3BF2E87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1"/>
        <w:jc w:val="both"/>
        <w:textAlignment w:val="auto"/>
        <w:rPr>
          <w:rFonts w:hint="eastAsia" w:ascii="宋体" w:hAnsi="宋体" w:eastAsia="宋体" w:cs="宋体"/>
          <w:sz w:val="24"/>
          <w:szCs w:val="24"/>
        </w:rPr>
      </w:pPr>
      <w:r>
        <w:rPr>
          <w:rFonts w:hint="eastAsia" w:ascii="宋体" w:hAnsi="宋体" w:eastAsia="宋体" w:cs="宋体"/>
          <w:i w:val="0"/>
          <w:iCs w:val="0"/>
          <w:caps w:val="0"/>
          <w:color w:val="313131"/>
          <w:spacing w:val="0"/>
          <w:sz w:val="24"/>
          <w:szCs w:val="24"/>
          <w:shd w:val="clear" w:fill="FFFFFF"/>
        </w:rPr>
        <w:t>（三）实验项目要注重育人方向。遵循教育规律、身心发展规律和学科本质，聚焦全过程、全要素、全体师生，充分体现实验项目中学生发展、师生共进的育人研究，注重健康第一、身心并健、脑智一体。</w:t>
      </w:r>
    </w:p>
    <w:p w14:paraId="771071F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1"/>
        <w:jc w:val="both"/>
        <w:textAlignment w:val="auto"/>
        <w:rPr>
          <w:rFonts w:hint="eastAsia" w:ascii="宋体" w:hAnsi="宋体" w:eastAsia="宋体" w:cs="宋体"/>
          <w:sz w:val="24"/>
          <w:szCs w:val="24"/>
        </w:rPr>
      </w:pPr>
      <w:r>
        <w:rPr>
          <w:rFonts w:hint="eastAsia" w:ascii="宋体" w:hAnsi="宋体" w:eastAsia="宋体" w:cs="宋体"/>
          <w:i w:val="0"/>
          <w:iCs w:val="0"/>
          <w:caps w:val="0"/>
          <w:color w:val="313131"/>
          <w:spacing w:val="0"/>
          <w:sz w:val="24"/>
          <w:szCs w:val="24"/>
          <w:shd w:val="clear" w:fill="FFFFFF"/>
        </w:rPr>
        <w:t>（四）实验项目要突出问题解决。有明确的改革创新思路和可行的实施方案，针对专项行动工作的热点、痛点、难点和项目实施过程中的困难，创造性地探索问题，个性化地解决问题。 </w:t>
      </w:r>
    </w:p>
    <w:p w14:paraId="59224D8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1"/>
        <w:jc w:val="both"/>
        <w:textAlignment w:val="auto"/>
        <w:rPr>
          <w:rFonts w:hint="eastAsia" w:ascii="宋体" w:hAnsi="宋体" w:eastAsia="宋体" w:cs="宋体"/>
          <w:sz w:val="24"/>
          <w:szCs w:val="24"/>
        </w:rPr>
      </w:pPr>
      <w:r>
        <w:rPr>
          <w:rFonts w:hint="eastAsia" w:ascii="宋体" w:hAnsi="宋体" w:eastAsia="宋体" w:cs="宋体"/>
          <w:i w:val="0"/>
          <w:iCs w:val="0"/>
          <w:caps w:val="0"/>
          <w:color w:val="313131"/>
          <w:spacing w:val="0"/>
          <w:sz w:val="24"/>
          <w:szCs w:val="24"/>
          <w:shd w:val="clear" w:fill="FFFFFF"/>
        </w:rPr>
        <w:t>（五）实验项目要体现学校特点。在基于特色彰显的基础上同时具有一定的示范性和可借鉴性，形成的任务类型、实践范式和行动模型有利于成果转化、应用和推广。</w:t>
      </w:r>
    </w:p>
    <w:p w14:paraId="6D00AFC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42"/>
        <w:jc w:val="both"/>
        <w:textAlignment w:val="auto"/>
        <w:rPr>
          <w:rFonts w:hint="eastAsia" w:ascii="宋体" w:hAnsi="宋体" w:eastAsia="宋体" w:cs="宋体"/>
          <w:sz w:val="24"/>
          <w:szCs w:val="24"/>
        </w:rPr>
      </w:pPr>
      <w:r>
        <w:rPr>
          <w:rStyle w:val="5"/>
          <w:rFonts w:hint="eastAsia" w:ascii="宋体" w:hAnsi="宋体" w:eastAsia="宋体" w:cs="宋体"/>
          <w:i w:val="0"/>
          <w:iCs w:val="0"/>
          <w:caps w:val="0"/>
          <w:color w:val="313131"/>
          <w:spacing w:val="0"/>
          <w:sz w:val="24"/>
          <w:szCs w:val="24"/>
          <w:shd w:val="clear" w:fill="FFFFFF"/>
        </w:rPr>
        <w:t>四、申报名额</w:t>
      </w:r>
    </w:p>
    <w:p w14:paraId="56C6B17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1"/>
        <w:textAlignment w:val="auto"/>
        <w:rPr>
          <w:rFonts w:hint="eastAsia" w:ascii="宋体" w:hAnsi="宋体" w:eastAsia="宋体" w:cs="宋体"/>
          <w:sz w:val="24"/>
          <w:szCs w:val="24"/>
        </w:rPr>
      </w:pPr>
      <w:r>
        <w:rPr>
          <w:rFonts w:hint="eastAsia" w:ascii="宋体" w:hAnsi="宋体" w:eastAsia="宋体" w:cs="宋体"/>
          <w:i w:val="0"/>
          <w:iCs w:val="0"/>
          <w:caps w:val="0"/>
          <w:color w:val="313131"/>
          <w:spacing w:val="0"/>
          <w:sz w:val="24"/>
          <w:szCs w:val="24"/>
          <w:shd w:val="clear" w:fill="FFFFFF"/>
        </w:rPr>
        <w:t>实验项目区域分配名额，详见附件1。</w:t>
      </w:r>
    </w:p>
    <w:p w14:paraId="6E50FE7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94"/>
        <w:textAlignment w:val="auto"/>
        <w:rPr>
          <w:rFonts w:hint="eastAsia" w:ascii="宋体" w:hAnsi="宋体" w:eastAsia="宋体" w:cs="宋体"/>
          <w:sz w:val="24"/>
          <w:szCs w:val="24"/>
        </w:rPr>
      </w:pPr>
      <w:r>
        <w:rPr>
          <w:rStyle w:val="5"/>
          <w:rFonts w:hint="eastAsia" w:ascii="宋体" w:hAnsi="宋体" w:eastAsia="宋体" w:cs="宋体"/>
          <w:i w:val="0"/>
          <w:iCs w:val="0"/>
          <w:caps w:val="0"/>
          <w:color w:val="313131"/>
          <w:spacing w:val="0"/>
          <w:sz w:val="24"/>
          <w:szCs w:val="24"/>
          <w:shd w:val="clear" w:fill="FFFFFF"/>
        </w:rPr>
        <w:t>五、遴选程序</w:t>
      </w:r>
    </w:p>
    <w:p w14:paraId="0779D28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1"/>
        <w:jc w:val="both"/>
        <w:textAlignment w:val="auto"/>
        <w:rPr>
          <w:rFonts w:hint="eastAsia" w:ascii="宋体" w:hAnsi="宋体" w:eastAsia="宋体" w:cs="宋体"/>
          <w:sz w:val="24"/>
          <w:szCs w:val="24"/>
        </w:rPr>
      </w:pPr>
      <w:r>
        <w:rPr>
          <w:rFonts w:hint="eastAsia" w:ascii="宋体" w:hAnsi="宋体" w:eastAsia="宋体" w:cs="宋体"/>
          <w:i w:val="0"/>
          <w:iCs w:val="0"/>
          <w:caps w:val="0"/>
          <w:color w:val="313131"/>
          <w:spacing w:val="0"/>
          <w:sz w:val="24"/>
          <w:szCs w:val="24"/>
          <w:shd w:val="clear" w:fill="FFFFFF"/>
        </w:rPr>
        <w:t>（一）自主申报：有意愿申报的学校，对照实验项目申报条件和重点任务，自主选择一个类别填写申报表（见附件2），11月25日前将申报表和推荐汇总表（附件3）报送所属辖区教师发展中心（市教育局直属初中直接报送市教育科学研究院）。</w:t>
      </w:r>
    </w:p>
    <w:p w14:paraId="170620F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1"/>
        <w:jc w:val="both"/>
        <w:textAlignment w:val="auto"/>
        <w:rPr>
          <w:rFonts w:hint="eastAsia" w:ascii="宋体" w:hAnsi="宋体" w:eastAsia="宋体" w:cs="宋体"/>
          <w:sz w:val="24"/>
          <w:szCs w:val="24"/>
        </w:rPr>
      </w:pPr>
      <w:r>
        <w:rPr>
          <w:rFonts w:hint="eastAsia" w:ascii="宋体" w:hAnsi="宋体" w:eastAsia="宋体" w:cs="宋体"/>
          <w:i w:val="0"/>
          <w:iCs w:val="0"/>
          <w:caps w:val="0"/>
          <w:color w:val="313131"/>
          <w:spacing w:val="0"/>
          <w:sz w:val="24"/>
          <w:szCs w:val="24"/>
          <w:shd w:val="clear" w:fill="FFFFFF"/>
        </w:rPr>
        <w:t>（二）区域推荐：各级教师发展中心根据实验项目区域申报分配名额，择优向市教育科学研究院推荐。11月30日前，以区域为单位将申报表和申报汇总表等报送市教育科学研究院。</w:t>
      </w:r>
    </w:p>
    <w:p w14:paraId="6DD7883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1"/>
        <w:jc w:val="both"/>
        <w:textAlignment w:val="auto"/>
        <w:rPr>
          <w:rFonts w:hint="eastAsia" w:ascii="宋体" w:hAnsi="宋体" w:eastAsia="宋体" w:cs="宋体"/>
          <w:sz w:val="24"/>
          <w:szCs w:val="24"/>
        </w:rPr>
      </w:pPr>
      <w:r>
        <w:rPr>
          <w:rFonts w:hint="eastAsia" w:ascii="宋体" w:hAnsi="宋体" w:eastAsia="宋体" w:cs="宋体"/>
          <w:i w:val="0"/>
          <w:iCs w:val="0"/>
          <w:caps w:val="0"/>
          <w:color w:val="313131"/>
          <w:spacing w:val="0"/>
          <w:sz w:val="24"/>
          <w:szCs w:val="24"/>
          <w:shd w:val="clear" w:fill="FFFFFF"/>
        </w:rPr>
        <w:t>（三）公示立项：12月10日前，市教科院成立项目组，进行创新实验项目认定，公示无异议后正式确定承担实验项目单位名单，并下发支持经费。</w:t>
      </w:r>
    </w:p>
    <w:p w14:paraId="02F3763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1"/>
        <w:textAlignment w:val="auto"/>
        <w:rPr>
          <w:rFonts w:hint="eastAsia" w:ascii="宋体" w:hAnsi="宋体" w:eastAsia="宋体" w:cs="宋体"/>
          <w:sz w:val="24"/>
          <w:szCs w:val="24"/>
        </w:rPr>
      </w:pPr>
      <w:r>
        <w:rPr>
          <w:rFonts w:hint="eastAsia" w:ascii="宋体" w:hAnsi="宋体" w:eastAsia="宋体" w:cs="宋体"/>
          <w:i w:val="0"/>
          <w:iCs w:val="0"/>
          <w:caps w:val="0"/>
          <w:color w:val="313131"/>
          <w:spacing w:val="0"/>
          <w:sz w:val="24"/>
          <w:szCs w:val="24"/>
          <w:shd w:val="clear" w:fill="FFFFFF"/>
        </w:rPr>
        <w:t>（四）项目跟踪：实验项目周期为3年，三年后完成结项认定并参与全市成果展示，正式认定为"2·15专项行动"示范校。</w:t>
      </w:r>
    </w:p>
    <w:p w14:paraId="1A4AAC2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1"/>
        <w:jc w:val="both"/>
        <w:textAlignment w:val="auto"/>
        <w:rPr>
          <w:rFonts w:hint="eastAsia" w:ascii="宋体" w:hAnsi="宋体" w:eastAsia="宋体" w:cs="宋体"/>
          <w:sz w:val="24"/>
          <w:szCs w:val="24"/>
        </w:rPr>
      </w:pPr>
      <w:r>
        <w:rPr>
          <w:rFonts w:hint="eastAsia" w:ascii="宋体" w:hAnsi="宋体" w:eastAsia="宋体" w:cs="宋体"/>
          <w:i w:val="0"/>
          <w:iCs w:val="0"/>
          <w:caps w:val="0"/>
          <w:color w:val="313131"/>
          <w:spacing w:val="0"/>
          <w:sz w:val="24"/>
          <w:szCs w:val="24"/>
          <w:shd w:val="clear" w:fill="FFFFFF"/>
        </w:rPr>
        <w:t>各地各校报送材料要求为申报表纸质文本一式5份，申报汇总表纸质文本一份，同时报送申报表、推荐汇总表的电子版和盖章pdf版。</w:t>
      </w:r>
      <w:r>
        <w:rPr>
          <w:rFonts w:hint="eastAsia" w:ascii="宋体" w:hAnsi="宋体" w:eastAsia="宋体" w:cs="宋体"/>
          <w:i w:val="0"/>
          <w:iCs w:val="0"/>
          <w:caps w:val="0"/>
          <w:color w:val="333333"/>
          <w:spacing w:val="0"/>
          <w:sz w:val="24"/>
          <w:szCs w:val="24"/>
          <w:shd w:val="clear" w:fill="FFFFFF"/>
        </w:rPr>
        <w:t>材料报送地点：常州市教育科学研究院105室（资料室）。资料室联系人：张昊，联系方式：86693091，</w:t>
      </w:r>
      <w:r>
        <w:rPr>
          <w:rFonts w:hint="eastAsia" w:ascii="宋体" w:hAnsi="宋体" w:eastAsia="宋体" w:cs="宋体"/>
          <w:i w:val="0"/>
          <w:iCs w:val="0"/>
          <w:caps w:val="0"/>
          <w:color w:val="313131"/>
          <w:spacing w:val="0"/>
          <w:sz w:val="24"/>
          <w:szCs w:val="24"/>
          <w:shd w:val="clear" w:fill="FFFFFF"/>
        </w:rPr>
        <w:t>电子邮箱：</w:t>
      </w:r>
      <w:r>
        <w:rPr>
          <w:rFonts w:hint="eastAsia" w:ascii="宋体" w:hAnsi="宋体" w:eastAsia="宋体" w:cs="宋体"/>
          <w:i w:val="0"/>
          <w:iCs w:val="0"/>
          <w:caps w:val="0"/>
          <w:spacing w:val="0"/>
          <w:sz w:val="24"/>
          <w:szCs w:val="24"/>
          <w:u w:val="none"/>
          <w:shd w:val="clear" w:fill="FFFFFF"/>
        </w:rPr>
        <w:fldChar w:fldCharType="begin"/>
      </w:r>
      <w:r>
        <w:rPr>
          <w:rFonts w:hint="eastAsia" w:ascii="宋体" w:hAnsi="宋体" w:eastAsia="宋体" w:cs="宋体"/>
          <w:i w:val="0"/>
          <w:iCs w:val="0"/>
          <w:caps w:val="0"/>
          <w:spacing w:val="0"/>
          <w:sz w:val="24"/>
          <w:szCs w:val="24"/>
          <w:u w:val="none"/>
          <w:shd w:val="clear" w:fill="FFFFFF"/>
        </w:rPr>
        <w:instrText xml:space="preserve"> HYPERLINK "https://jky.czedu.cn/html/article6898734.html" </w:instrText>
      </w:r>
      <w:r>
        <w:rPr>
          <w:rFonts w:hint="eastAsia" w:ascii="宋体" w:hAnsi="宋体" w:eastAsia="宋体" w:cs="宋体"/>
          <w:i w:val="0"/>
          <w:iCs w:val="0"/>
          <w:caps w:val="0"/>
          <w:spacing w:val="0"/>
          <w:sz w:val="24"/>
          <w:szCs w:val="24"/>
          <w:u w:val="none"/>
          <w:shd w:val="clear" w:fill="FFFFFF"/>
        </w:rPr>
        <w:fldChar w:fldCharType="separate"/>
      </w:r>
      <w:r>
        <w:rPr>
          <w:rStyle w:val="6"/>
          <w:rFonts w:hint="eastAsia" w:ascii="宋体" w:hAnsi="宋体" w:eastAsia="宋体" w:cs="宋体"/>
          <w:i w:val="0"/>
          <w:iCs w:val="0"/>
          <w:caps w:val="0"/>
          <w:color w:val="000000"/>
          <w:spacing w:val="0"/>
          <w:sz w:val="24"/>
          <w:szCs w:val="24"/>
          <w:u w:val="none"/>
          <w:shd w:val="clear" w:fill="FFFFFF"/>
        </w:rPr>
        <w:t>1051332745@qq.com</w:t>
      </w:r>
      <w:r>
        <w:rPr>
          <w:rFonts w:hint="eastAsia" w:ascii="宋体" w:hAnsi="宋体" w:eastAsia="宋体" w:cs="宋体"/>
          <w:i w:val="0"/>
          <w:iCs w:val="0"/>
          <w:caps w:val="0"/>
          <w:spacing w:val="0"/>
          <w:sz w:val="24"/>
          <w:szCs w:val="24"/>
          <w:u w:val="none"/>
          <w:shd w:val="clear" w:fill="FFFFFF"/>
        </w:rPr>
        <w:fldChar w:fldCharType="end"/>
      </w:r>
      <w:r>
        <w:rPr>
          <w:rFonts w:hint="eastAsia" w:ascii="宋体" w:hAnsi="宋体" w:eastAsia="宋体" w:cs="宋体"/>
          <w:i w:val="0"/>
          <w:iCs w:val="0"/>
          <w:caps w:val="0"/>
          <w:color w:val="313131"/>
          <w:spacing w:val="0"/>
          <w:sz w:val="24"/>
          <w:szCs w:val="24"/>
          <w:shd w:val="clear" w:fill="FFFFFF"/>
        </w:rPr>
        <w:t>，邮箱主题栏写明：某区或某校实验项目申报材料。</w:t>
      </w:r>
      <w:r>
        <w:rPr>
          <w:rFonts w:hint="eastAsia" w:ascii="宋体" w:hAnsi="宋体" w:eastAsia="宋体" w:cs="宋体"/>
          <w:i w:val="0"/>
          <w:iCs w:val="0"/>
          <w:caps w:val="0"/>
          <w:color w:val="333333"/>
          <w:spacing w:val="0"/>
          <w:sz w:val="24"/>
          <w:szCs w:val="24"/>
          <w:shd w:val="clear" w:fill="FFFFFF"/>
        </w:rPr>
        <w:t>常州市教育科学研究院工作联系人：刘老师，联系方式：86669503、</w:t>
      </w:r>
      <w:r>
        <w:rPr>
          <w:rFonts w:hint="eastAsia" w:ascii="宋体" w:hAnsi="宋体" w:eastAsia="宋体" w:cs="宋体"/>
          <w:i w:val="0"/>
          <w:iCs w:val="0"/>
          <w:caps w:val="0"/>
          <w:color w:val="313131"/>
          <w:spacing w:val="0"/>
          <w:sz w:val="24"/>
          <w:szCs w:val="24"/>
          <w:shd w:val="clear" w:fill="FFFFFF"/>
        </w:rPr>
        <w:t>18961189418</w:t>
      </w:r>
      <w:r>
        <w:rPr>
          <w:rFonts w:hint="eastAsia" w:ascii="宋体" w:hAnsi="宋体" w:eastAsia="宋体" w:cs="宋体"/>
          <w:i w:val="0"/>
          <w:iCs w:val="0"/>
          <w:caps w:val="0"/>
          <w:color w:val="333333"/>
          <w:spacing w:val="0"/>
          <w:sz w:val="24"/>
          <w:szCs w:val="24"/>
          <w:shd w:val="clear" w:fill="FFFFFF"/>
        </w:rPr>
        <w:t>。</w:t>
      </w:r>
    </w:p>
    <w:p w14:paraId="1021C53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94"/>
        <w:jc w:val="both"/>
        <w:textAlignment w:val="auto"/>
        <w:rPr>
          <w:rFonts w:hint="eastAsia" w:ascii="宋体" w:hAnsi="宋体" w:eastAsia="宋体" w:cs="宋体"/>
          <w:sz w:val="24"/>
          <w:szCs w:val="24"/>
        </w:rPr>
      </w:pPr>
      <w:r>
        <w:rPr>
          <w:rStyle w:val="5"/>
          <w:rFonts w:hint="eastAsia" w:ascii="宋体" w:hAnsi="宋体" w:eastAsia="宋体" w:cs="宋体"/>
          <w:i w:val="0"/>
          <w:iCs w:val="0"/>
          <w:caps w:val="0"/>
          <w:color w:val="313131"/>
          <w:spacing w:val="0"/>
          <w:sz w:val="24"/>
          <w:szCs w:val="24"/>
          <w:shd w:val="clear" w:fill="FFFFFF"/>
        </w:rPr>
        <w:t>六、组织实施</w:t>
      </w:r>
    </w:p>
    <w:p w14:paraId="079CCD9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1"/>
        <w:jc w:val="both"/>
        <w:textAlignment w:val="auto"/>
        <w:rPr>
          <w:rFonts w:hint="eastAsia" w:ascii="宋体" w:hAnsi="宋体" w:eastAsia="宋体" w:cs="宋体"/>
          <w:sz w:val="24"/>
          <w:szCs w:val="24"/>
        </w:rPr>
      </w:pPr>
      <w:r>
        <w:rPr>
          <w:rFonts w:hint="eastAsia" w:ascii="宋体" w:hAnsi="宋体" w:eastAsia="宋体" w:cs="宋体"/>
          <w:i w:val="0"/>
          <w:iCs w:val="0"/>
          <w:caps w:val="0"/>
          <w:color w:val="313131"/>
          <w:spacing w:val="0"/>
          <w:sz w:val="24"/>
          <w:szCs w:val="24"/>
          <w:shd w:val="clear" w:fill="FFFFFF"/>
        </w:rPr>
        <w:t>（一）</w:t>
      </w:r>
      <w:r>
        <w:rPr>
          <w:rFonts w:hint="eastAsia" w:ascii="宋体" w:hAnsi="宋体" w:eastAsia="宋体" w:cs="宋体"/>
          <w:i w:val="0"/>
          <w:iCs w:val="0"/>
          <w:caps w:val="0"/>
          <w:color w:val="333333"/>
          <w:spacing w:val="0"/>
          <w:sz w:val="24"/>
          <w:szCs w:val="24"/>
          <w:shd w:val="clear" w:fill="FFFFFF"/>
        </w:rPr>
        <w:t>建立申报机制。各地各部门要</w:t>
      </w:r>
      <w:r>
        <w:rPr>
          <w:rFonts w:hint="eastAsia" w:ascii="宋体" w:hAnsi="宋体" w:eastAsia="宋体" w:cs="宋体"/>
          <w:i w:val="0"/>
          <w:iCs w:val="0"/>
          <w:caps w:val="0"/>
          <w:color w:val="313131"/>
          <w:spacing w:val="0"/>
          <w:sz w:val="24"/>
          <w:szCs w:val="24"/>
          <w:shd w:val="clear" w:fill="FFFFFF"/>
        </w:rPr>
        <w:t>制定详细实施方案和流程，明确目标任务、推进措施和时间节点，</w:t>
      </w:r>
      <w:r>
        <w:rPr>
          <w:rFonts w:hint="eastAsia" w:ascii="宋体" w:hAnsi="宋体" w:eastAsia="宋体" w:cs="宋体"/>
          <w:i w:val="0"/>
          <w:iCs w:val="0"/>
          <w:caps w:val="0"/>
          <w:color w:val="333333"/>
          <w:spacing w:val="0"/>
          <w:sz w:val="24"/>
          <w:szCs w:val="24"/>
          <w:shd w:val="clear" w:fill="FFFFFF"/>
        </w:rPr>
        <w:t>同步开展实验项目的培育工作。申报市级的项目，须从区域推荐的优秀项目中产生，并在规定的时间内推荐给上级主管部门。要</w:t>
      </w:r>
      <w:r>
        <w:rPr>
          <w:rFonts w:hint="eastAsia" w:ascii="宋体" w:hAnsi="宋体" w:eastAsia="宋体" w:cs="宋体"/>
          <w:i w:val="0"/>
          <w:iCs w:val="0"/>
          <w:caps w:val="0"/>
          <w:color w:val="313131"/>
          <w:spacing w:val="0"/>
          <w:sz w:val="24"/>
          <w:szCs w:val="24"/>
          <w:shd w:val="clear" w:fill="FFFFFF"/>
        </w:rPr>
        <w:t>加大对专项行动的支持力度，确保把有意愿、有条件、有基础、有成效的项目推荐出来。</w:t>
      </w:r>
    </w:p>
    <w:p w14:paraId="51A5256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1"/>
        <w:jc w:val="both"/>
        <w:textAlignment w:val="auto"/>
        <w:rPr>
          <w:rFonts w:hint="eastAsia" w:ascii="宋体" w:hAnsi="宋体" w:eastAsia="宋体" w:cs="宋体"/>
          <w:sz w:val="24"/>
          <w:szCs w:val="24"/>
        </w:rPr>
      </w:pPr>
      <w:r>
        <w:rPr>
          <w:rFonts w:hint="eastAsia" w:ascii="宋体" w:hAnsi="宋体" w:eastAsia="宋体" w:cs="宋体"/>
          <w:i w:val="0"/>
          <w:iCs w:val="0"/>
          <w:caps w:val="0"/>
          <w:color w:val="313131"/>
          <w:spacing w:val="0"/>
          <w:sz w:val="24"/>
          <w:szCs w:val="24"/>
          <w:shd w:val="clear" w:fill="FFFFFF"/>
        </w:rPr>
        <w:t>（二）</w:t>
      </w:r>
      <w:r>
        <w:rPr>
          <w:rFonts w:hint="eastAsia" w:ascii="宋体" w:hAnsi="宋体" w:eastAsia="宋体" w:cs="宋体"/>
          <w:i w:val="0"/>
          <w:iCs w:val="0"/>
          <w:caps w:val="0"/>
          <w:color w:val="333333"/>
          <w:spacing w:val="0"/>
          <w:sz w:val="24"/>
          <w:szCs w:val="24"/>
          <w:shd w:val="clear" w:fill="FFFFFF"/>
        </w:rPr>
        <w:t>强化专业指导。各地各部门应加强对推荐工作的全过程指导。将实验项目的研讨与打磨纳入日常教研计划，组织专家力量，针对</w:t>
      </w:r>
      <w:r>
        <w:rPr>
          <w:rFonts w:hint="eastAsia" w:ascii="宋体" w:hAnsi="宋体" w:eastAsia="宋体" w:cs="宋体"/>
          <w:i w:val="0"/>
          <w:iCs w:val="0"/>
          <w:caps w:val="0"/>
          <w:color w:val="313131"/>
          <w:spacing w:val="0"/>
          <w:sz w:val="24"/>
          <w:szCs w:val="24"/>
          <w:shd w:val="clear" w:fill="FFFFFF"/>
        </w:rPr>
        <w:t>五大重点任务</w:t>
      </w:r>
      <w:r>
        <w:rPr>
          <w:rFonts w:hint="eastAsia" w:ascii="宋体" w:hAnsi="宋体" w:eastAsia="宋体" w:cs="宋体"/>
          <w:i w:val="0"/>
          <w:iCs w:val="0"/>
          <w:caps w:val="0"/>
          <w:color w:val="333333"/>
          <w:spacing w:val="0"/>
          <w:sz w:val="24"/>
          <w:szCs w:val="24"/>
          <w:shd w:val="clear" w:fill="FFFFFF"/>
        </w:rPr>
        <w:t>提供专业支持，指导项目凝练经验成果，帮助提升项目质量与内涵。</w:t>
      </w:r>
      <w:r>
        <w:rPr>
          <w:rFonts w:hint="eastAsia" w:ascii="宋体" w:hAnsi="宋体" w:eastAsia="宋体" w:cs="宋体"/>
          <w:i w:val="0"/>
          <w:iCs w:val="0"/>
          <w:caps w:val="0"/>
          <w:color w:val="313131"/>
          <w:spacing w:val="0"/>
          <w:sz w:val="24"/>
          <w:szCs w:val="24"/>
          <w:shd w:val="clear" w:fill="FFFFFF"/>
        </w:rPr>
        <w:t>  </w:t>
      </w:r>
    </w:p>
    <w:p w14:paraId="73B5FB9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1"/>
        <w:jc w:val="both"/>
        <w:textAlignment w:val="auto"/>
        <w:rPr>
          <w:rFonts w:hint="eastAsia" w:ascii="宋体" w:hAnsi="宋体" w:eastAsia="宋体" w:cs="宋体"/>
          <w:sz w:val="24"/>
          <w:szCs w:val="24"/>
        </w:rPr>
      </w:pPr>
      <w:r>
        <w:rPr>
          <w:rFonts w:hint="eastAsia" w:ascii="宋体" w:hAnsi="宋体" w:eastAsia="宋体" w:cs="宋体"/>
          <w:i w:val="0"/>
          <w:iCs w:val="0"/>
          <w:caps w:val="0"/>
          <w:color w:val="313131"/>
          <w:spacing w:val="0"/>
          <w:sz w:val="24"/>
          <w:szCs w:val="24"/>
          <w:shd w:val="clear" w:fill="FFFFFF"/>
        </w:rPr>
        <w:t>（三）</w:t>
      </w:r>
      <w:r>
        <w:rPr>
          <w:rFonts w:hint="eastAsia" w:ascii="宋体" w:hAnsi="宋体" w:eastAsia="宋体" w:cs="宋体"/>
          <w:i w:val="0"/>
          <w:iCs w:val="0"/>
          <w:caps w:val="0"/>
          <w:color w:val="333333"/>
          <w:spacing w:val="0"/>
          <w:sz w:val="24"/>
          <w:szCs w:val="24"/>
          <w:shd w:val="clear" w:fill="FFFFFF"/>
        </w:rPr>
        <w:t>突出示范引领。获优秀实验项目的承担单位，应定期组织体育教学公开课、成果展示等交流活动，并在相关媒体发布年度实施报告。鼓励优秀实验项目学校主动结对帮扶1-2所其他学校，开展常态化协同攻关研究，共享项目建设经验。市教育局、市教科院将适时组织全市范围的优秀项目交流研讨活动，搭建互学互鉴平台。</w:t>
      </w:r>
    </w:p>
    <w:p w14:paraId="7C3F87C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1"/>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（四）实施动态管理。实验项目建设周期为3年，各地教育主管部门应建立优秀实验项目定期更新与动态管理机制。对已入选的各实验项目应组织回溯，确保优秀项目的先进性与代表性。</w:t>
      </w:r>
    </w:p>
    <w:p w14:paraId="1BF9FAD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1"/>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五）加强宣传推广。各学校应及时总结提炼实验项目中的创新理念、有效模式和成功经验，积极报送优秀案例。各级教育主管部门和教研机构应通过官网、专题会议、案例汇编、现场展演等多种渠道和形式，广泛宣传和推广优秀成果，充分发挥其示范辐射效应，带动区域学校体育工作整体提质增效。</w:t>
      </w:r>
    </w:p>
    <w:p w14:paraId="74ED1BC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1"/>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 </w:t>
      </w:r>
    </w:p>
    <w:p w14:paraId="1ADBBAE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1"/>
        <w:jc w:val="right"/>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                       常州市教育科学研究院</w:t>
      </w:r>
    </w:p>
    <w:p w14:paraId="268C73C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                         </w:t>
      </w:r>
      <w:bookmarkStart w:id="0" w:name="_GoBack"/>
      <w:bookmarkEnd w:id="0"/>
      <w:r>
        <w:rPr>
          <w:rFonts w:hint="eastAsia" w:ascii="宋体" w:hAnsi="宋体" w:eastAsia="宋体" w:cs="宋体"/>
          <w:i w:val="0"/>
          <w:iCs w:val="0"/>
          <w:caps w:val="0"/>
          <w:color w:val="333333"/>
          <w:spacing w:val="0"/>
          <w:sz w:val="24"/>
          <w:szCs w:val="24"/>
          <w:shd w:val="clear" w:fill="FFFFFF"/>
        </w:rPr>
        <w:t>2025年11月10日</w:t>
      </w:r>
    </w:p>
    <w:p w14:paraId="784B1F87">
      <w:pPr>
        <w:widowControl/>
        <w:spacing w:after="0" w:line="360" w:lineRule="exact"/>
        <w:ind w:firstLine="640" w:firstLineChars="200"/>
        <w:jc w:val="both"/>
        <w:rPr>
          <w:rFonts w:ascii="宋体" w:hAnsi="宋体" w:eastAsia="宋体" w:cs="宋体"/>
          <w:color w:val="333333"/>
          <w:kern w:val="0"/>
          <w:sz w:val="24"/>
          <w14:ligatures w14:val="none"/>
        </w:rPr>
      </w:pPr>
      <w:r>
        <w:rPr>
          <w:rFonts w:hint="eastAsia" w:ascii="微软雅黑" w:hAnsi="微软雅黑" w:eastAsia="微软雅黑" w:cstheme="majorBidi"/>
          <w:b/>
          <w:bCs/>
          <w:color w:val="000000"/>
          <w:kern w:val="0"/>
          <w:sz w:val="32"/>
          <w:szCs w:val="22"/>
          <w14:ligatures w14:val="none"/>
        </w:rPr>
        <w:t>附件1：</w:t>
      </w:r>
      <w:r>
        <w:rPr>
          <w:rFonts w:hint="eastAsia" w:ascii="宋体" w:hAnsi="宋体" w:eastAsia="宋体" w:cs="宋体"/>
          <w:color w:val="333333"/>
          <w:kern w:val="0"/>
          <w:sz w:val="24"/>
          <w14:ligatures w14:val="none"/>
        </w:rPr>
        <w:t xml:space="preserve"> </w:t>
      </w:r>
    </w:p>
    <w:p w14:paraId="1A107100">
      <w:pPr>
        <w:widowControl/>
        <w:spacing w:after="0" w:line="288" w:lineRule="auto"/>
        <w:ind w:firstLine="320" w:firstLineChars="100"/>
        <w:rPr>
          <w:rFonts w:ascii="Calibri" w:hAnsi="Calibri" w:eastAsia="等线" w:cs="21"/>
          <w:kern w:val="0"/>
          <w:sz w:val="32"/>
          <w:szCs w:val="32"/>
          <w14:ligatures w14:val="none"/>
        </w:rPr>
      </w:pPr>
      <w:r>
        <w:rPr>
          <w:rFonts w:hint="eastAsia" w:ascii="微软雅黑" w:hAnsi="微软雅黑" w:eastAsia="微软雅黑" w:cs="21"/>
          <w:color w:val="000000"/>
          <w:kern w:val="0"/>
          <w:sz w:val="32"/>
          <w:szCs w:val="32"/>
          <w14:ligatures w14:val="none"/>
        </w:rPr>
        <w:t>常州市"2·15专项行动"创新实验项目区域推荐分配名额</w:t>
      </w:r>
    </w:p>
    <w:tbl>
      <w:tblPr>
        <w:tblStyle w:val="3"/>
        <w:tblW w:w="9214" w:type="dxa"/>
        <w:tblInd w:w="-150" w:type="dxa"/>
        <w:tblLayout w:type="autofit"/>
        <w:tblCellMar>
          <w:top w:w="0" w:type="dxa"/>
          <w:left w:w="108" w:type="dxa"/>
          <w:bottom w:w="0" w:type="dxa"/>
          <w:right w:w="108" w:type="dxa"/>
        </w:tblCellMar>
      </w:tblPr>
      <w:tblGrid>
        <w:gridCol w:w="709"/>
        <w:gridCol w:w="733"/>
        <w:gridCol w:w="1535"/>
        <w:gridCol w:w="1560"/>
        <w:gridCol w:w="1559"/>
        <w:gridCol w:w="1559"/>
        <w:gridCol w:w="1559"/>
      </w:tblGrid>
      <w:tr w14:paraId="6955DCBE">
        <w:tc>
          <w:tcPr>
            <w:tcW w:w="709" w:type="dxa"/>
            <w:tcBorders>
              <w:top w:val="single" w:color="222222" w:sz="6" w:space="0"/>
              <w:left w:val="single" w:color="222222" w:sz="6" w:space="0"/>
              <w:bottom w:val="single" w:color="222222" w:sz="6" w:space="0"/>
              <w:right w:val="single" w:color="222222" w:sz="6" w:space="0"/>
            </w:tcBorders>
          </w:tcPr>
          <w:p w14:paraId="652D01B2">
            <w:pPr>
              <w:widowControl/>
              <w:spacing w:after="0" w:line="288" w:lineRule="auto"/>
              <w:jc w:val="center"/>
              <w:rPr>
                <w:rFonts w:ascii="微软雅黑" w:hAnsi="微软雅黑" w:eastAsia="微软雅黑" w:cs="21"/>
                <w:bCs/>
                <w:kern w:val="0"/>
                <w:sz w:val="21"/>
                <w:szCs w:val="21"/>
                <w:lang w:eastAsia="en-US"/>
                <w14:ligatures w14:val="none"/>
              </w:rPr>
            </w:pPr>
            <w:r>
              <w:rPr>
                <w:rFonts w:hint="eastAsia" w:ascii="微软雅黑" w:hAnsi="微软雅黑" w:eastAsia="微软雅黑" w:cs="21"/>
                <w:bCs/>
                <w:color w:val="000000"/>
                <w:kern w:val="0"/>
                <w:sz w:val="21"/>
                <w:szCs w:val="21"/>
                <w:lang w:eastAsia="en-US"/>
                <w14:ligatures w14:val="none"/>
              </w:rPr>
              <w:t>区域</w:t>
            </w:r>
          </w:p>
        </w:tc>
        <w:tc>
          <w:tcPr>
            <w:tcW w:w="733" w:type="dxa"/>
            <w:tcBorders>
              <w:top w:val="single" w:color="222222" w:sz="6" w:space="0"/>
              <w:left w:val="single" w:color="222222" w:sz="6" w:space="0"/>
              <w:bottom w:val="single" w:color="222222" w:sz="6" w:space="0"/>
              <w:right w:val="single" w:color="222222" w:sz="6" w:space="0"/>
            </w:tcBorders>
          </w:tcPr>
          <w:p w14:paraId="06672A42">
            <w:pPr>
              <w:widowControl/>
              <w:spacing w:after="0" w:line="288" w:lineRule="auto"/>
              <w:jc w:val="center"/>
              <w:rPr>
                <w:rFonts w:ascii="微软雅黑" w:hAnsi="微软雅黑" w:eastAsia="微软雅黑" w:cs="21"/>
                <w:bCs/>
                <w:kern w:val="0"/>
                <w:sz w:val="21"/>
                <w:szCs w:val="21"/>
                <w:lang w:eastAsia="en-US"/>
                <w14:ligatures w14:val="none"/>
              </w:rPr>
            </w:pPr>
            <w:r>
              <w:rPr>
                <w:rFonts w:hint="eastAsia" w:ascii="微软雅黑" w:hAnsi="微软雅黑" w:eastAsia="微软雅黑" w:cs="21"/>
                <w:bCs/>
                <w:color w:val="000000"/>
                <w:kern w:val="0"/>
                <w:sz w:val="21"/>
                <w:szCs w:val="21"/>
                <w:lang w:eastAsia="en-US"/>
                <w14:ligatures w14:val="none"/>
              </w:rPr>
              <w:t>合计</w:t>
            </w:r>
          </w:p>
        </w:tc>
        <w:tc>
          <w:tcPr>
            <w:tcW w:w="1535" w:type="dxa"/>
            <w:tcBorders>
              <w:top w:val="single" w:color="222222" w:sz="6" w:space="0"/>
              <w:left w:val="single" w:color="222222" w:sz="6" w:space="0"/>
              <w:bottom w:val="single" w:color="222222" w:sz="6" w:space="0"/>
              <w:right w:val="single" w:color="222222" w:sz="6" w:space="0"/>
            </w:tcBorders>
          </w:tcPr>
          <w:p w14:paraId="056562D1">
            <w:pPr>
              <w:widowControl/>
              <w:spacing w:after="0" w:line="360" w:lineRule="exact"/>
              <w:jc w:val="center"/>
              <w:rPr>
                <w:rFonts w:ascii="微软雅黑" w:hAnsi="微软雅黑" w:eastAsia="微软雅黑" w:cs="21"/>
                <w:bCs/>
                <w:kern w:val="0"/>
                <w:sz w:val="21"/>
                <w:szCs w:val="21"/>
                <w14:ligatures w14:val="none"/>
              </w:rPr>
            </w:pPr>
            <w:r>
              <w:rPr>
                <w:rFonts w:hint="eastAsia" w:ascii="微软雅黑" w:hAnsi="微软雅黑" w:eastAsia="微软雅黑" w:cs="21"/>
                <w:bCs/>
                <w:color w:val="000000"/>
                <w:kern w:val="0"/>
                <w:sz w:val="21"/>
                <w:szCs w:val="21"/>
                <w14:ligatures w14:val="none"/>
              </w:rPr>
              <w:t>课程教学改革深化</w:t>
            </w:r>
          </w:p>
        </w:tc>
        <w:tc>
          <w:tcPr>
            <w:tcW w:w="1560" w:type="dxa"/>
            <w:tcBorders>
              <w:top w:val="single" w:color="222222" w:sz="6" w:space="0"/>
              <w:left w:val="single" w:color="222222" w:sz="6" w:space="0"/>
              <w:bottom w:val="single" w:color="222222" w:sz="6" w:space="0"/>
              <w:right w:val="single" w:color="222222" w:sz="6" w:space="0"/>
            </w:tcBorders>
          </w:tcPr>
          <w:p w14:paraId="2D591C7C">
            <w:pPr>
              <w:widowControl/>
              <w:spacing w:after="0" w:line="360" w:lineRule="exact"/>
              <w:jc w:val="center"/>
              <w:rPr>
                <w:rFonts w:ascii="微软雅黑" w:hAnsi="微软雅黑" w:eastAsia="微软雅黑" w:cs="21"/>
                <w:bCs/>
                <w:kern w:val="0"/>
                <w:sz w:val="21"/>
                <w:szCs w:val="21"/>
                <w:lang w:eastAsia="en-US"/>
                <w14:ligatures w14:val="none"/>
              </w:rPr>
            </w:pPr>
            <w:r>
              <w:rPr>
                <w:rFonts w:hint="eastAsia" w:ascii="微软雅黑" w:hAnsi="微软雅黑" w:eastAsia="微软雅黑" w:cs="21"/>
                <w:bCs/>
                <w:color w:val="000000"/>
                <w:kern w:val="0"/>
                <w:sz w:val="21"/>
                <w:szCs w:val="21"/>
                <w14:ligatures w14:val="none"/>
              </w:rPr>
              <w:t>学生体质健康提升</w:t>
            </w:r>
          </w:p>
        </w:tc>
        <w:tc>
          <w:tcPr>
            <w:tcW w:w="1559" w:type="dxa"/>
            <w:tcBorders>
              <w:top w:val="single" w:color="222222" w:sz="6" w:space="0"/>
              <w:left w:val="single" w:color="222222" w:sz="6" w:space="0"/>
              <w:bottom w:val="single" w:color="222222" w:sz="6" w:space="0"/>
              <w:right w:val="single" w:color="222222" w:sz="6" w:space="0"/>
            </w:tcBorders>
          </w:tcPr>
          <w:p w14:paraId="6F9E7DDE">
            <w:pPr>
              <w:widowControl/>
              <w:spacing w:after="0" w:line="360" w:lineRule="exact"/>
              <w:jc w:val="center"/>
              <w:rPr>
                <w:rFonts w:ascii="微软雅黑" w:hAnsi="微软雅黑" w:eastAsia="微软雅黑" w:cs="21"/>
                <w:bCs/>
                <w:kern w:val="0"/>
                <w:sz w:val="21"/>
                <w:szCs w:val="21"/>
                <w:lang w:eastAsia="en-US"/>
                <w14:ligatures w14:val="none"/>
              </w:rPr>
            </w:pPr>
            <w:r>
              <w:rPr>
                <w:rFonts w:hint="eastAsia" w:ascii="微软雅黑" w:hAnsi="微软雅黑" w:eastAsia="微软雅黑" w:cs="21"/>
                <w:bCs/>
                <w:color w:val="000000"/>
                <w:kern w:val="0"/>
                <w:sz w:val="21"/>
                <w:szCs w:val="21"/>
                <w14:ligatures w14:val="none"/>
              </w:rPr>
              <w:t>教师专业素养发展</w:t>
            </w:r>
          </w:p>
        </w:tc>
        <w:tc>
          <w:tcPr>
            <w:tcW w:w="1559" w:type="dxa"/>
            <w:tcBorders>
              <w:top w:val="single" w:color="222222" w:sz="6" w:space="0"/>
              <w:left w:val="single" w:color="222222" w:sz="6" w:space="0"/>
              <w:bottom w:val="single" w:color="222222" w:sz="6" w:space="0"/>
              <w:right w:val="single" w:color="222222" w:sz="6" w:space="0"/>
            </w:tcBorders>
          </w:tcPr>
          <w:p w14:paraId="4E9D1BEE">
            <w:pPr>
              <w:widowControl/>
              <w:spacing w:after="0" w:line="360" w:lineRule="exact"/>
              <w:jc w:val="center"/>
              <w:rPr>
                <w:rFonts w:ascii="微软雅黑" w:hAnsi="微软雅黑" w:eastAsia="微软雅黑" w:cs="21"/>
                <w:bCs/>
                <w:kern w:val="0"/>
                <w:sz w:val="21"/>
                <w:szCs w:val="21"/>
                <w:lang w:eastAsia="en-US"/>
                <w14:ligatures w14:val="none"/>
              </w:rPr>
            </w:pPr>
            <w:r>
              <w:rPr>
                <w:rFonts w:hint="eastAsia" w:ascii="微软雅黑" w:hAnsi="微软雅黑" w:eastAsia="微软雅黑" w:cs="21"/>
                <w:bCs/>
                <w:color w:val="000000"/>
                <w:kern w:val="0"/>
                <w:sz w:val="21"/>
                <w:szCs w:val="21"/>
                <w14:ligatures w14:val="none"/>
              </w:rPr>
              <w:t>社团运动队伍建设</w:t>
            </w:r>
          </w:p>
        </w:tc>
        <w:tc>
          <w:tcPr>
            <w:tcW w:w="1559" w:type="dxa"/>
            <w:tcBorders>
              <w:top w:val="single" w:color="222222" w:sz="6" w:space="0"/>
              <w:left w:val="single" w:color="222222" w:sz="6" w:space="0"/>
              <w:bottom w:val="single" w:color="222222" w:sz="6" w:space="0"/>
              <w:right w:val="single" w:color="222222" w:sz="6" w:space="0"/>
            </w:tcBorders>
          </w:tcPr>
          <w:p w14:paraId="01289CA8">
            <w:pPr>
              <w:widowControl/>
              <w:spacing w:after="0" w:line="360" w:lineRule="exact"/>
              <w:jc w:val="center"/>
              <w:rPr>
                <w:rFonts w:ascii="微软雅黑" w:hAnsi="微软雅黑" w:eastAsia="微软雅黑" w:cs="21"/>
                <w:bCs/>
                <w:kern w:val="0"/>
                <w:sz w:val="21"/>
                <w:szCs w:val="21"/>
                <w:lang w:eastAsia="en-US"/>
                <w14:ligatures w14:val="none"/>
              </w:rPr>
            </w:pPr>
            <w:r>
              <w:rPr>
                <w:rFonts w:hint="eastAsia" w:ascii="微软雅黑" w:hAnsi="微软雅黑" w:eastAsia="微软雅黑" w:cs="21"/>
                <w:bCs/>
                <w:color w:val="000000"/>
                <w:kern w:val="0"/>
                <w:sz w:val="21"/>
                <w:szCs w:val="21"/>
                <w14:ligatures w14:val="none"/>
              </w:rPr>
              <w:t>学校体育文化营造</w:t>
            </w:r>
          </w:p>
        </w:tc>
      </w:tr>
      <w:tr w14:paraId="4DC1A59C">
        <w:tblPrEx>
          <w:tblCellMar>
            <w:top w:w="0" w:type="dxa"/>
            <w:left w:w="108" w:type="dxa"/>
            <w:bottom w:w="0" w:type="dxa"/>
            <w:right w:w="108" w:type="dxa"/>
          </w:tblCellMar>
        </w:tblPrEx>
        <w:tc>
          <w:tcPr>
            <w:tcW w:w="709" w:type="dxa"/>
            <w:tcBorders>
              <w:top w:val="single" w:color="222222" w:sz="6" w:space="0"/>
              <w:left w:val="single" w:color="222222" w:sz="6" w:space="0"/>
              <w:bottom w:val="single" w:color="222222" w:sz="6" w:space="0"/>
              <w:right w:val="single" w:color="222222" w:sz="6" w:space="0"/>
            </w:tcBorders>
          </w:tcPr>
          <w:p w14:paraId="662B9937">
            <w:pPr>
              <w:widowControl/>
              <w:spacing w:after="0" w:line="288" w:lineRule="auto"/>
              <w:rPr>
                <w:rFonts w:ascii="宋体" w:hAnsi="宋体" w:eastAsia="宋体" w:cs="21"/>
                <w:kern w:val="0"/>
                <w:szCs w:val="22"/>
                <w:lang w:eastAsia="en-US"/>
                <w14:ligatures w14:val="none"/>
              </w:rPr>
            </w:pPr>
            <w:r>
              <w:rPr>
                <w:rFonts w:hint="eastAsia" w:ascii="宋体" w:hAnsi="宋体" w:eastAsia="宋体" w:cs="21"/>
                <w:color w:val="000000"/>
                <w:kern w:val="0"/>
                <w:sz w:val="24"/>
                <w:szCs w:val="22"/>
                <w:lang w:eastAsia="en-US"/>
                <w14:ligatures w14:val="none"/>
              </w:rPr>
              <w:t>溧阳</w:t>
            </w:r>
          </w:p>
        </w:tc>
        <w:tc>
          <w:tcPr>
            <w:tcW w:w="733" w:type="dxa"/>
            <w:tcBorders>
              <w:top w:val="single" w:color="222222" w:sz="6" w:space="0"/>
              <w:left w:val="single" w:color="222222" w:sz="6" w:space="0"/>
              <w:bottom w:val="single" w:color="222222" w:sz="6" w:space="0"/>
              <w:right w:val="single" w:color="222222" w:sz="6" w:space="0"/>
            </w:tcBorders>
          </w:tcPr>
          <w:p w14:paraId="7037A7A9">
            <w:pPr>
              <w:widowControl/>
              <w:spacing w:after="0" w:line="288" w:lineRule="auto"/>
              <w:rPr>
                <w:rFonts w:ascii="宋体" w:hAnsi="宋体" w:eastAsia="宋体" w:cs="21"/>
                <w:kern w:val="0"/>
                <w:szCs w:val="22"/>
                <w14:ligatures w14:val="none"/>
              </w:rPr>
            </w:pPr>
            <w:r>
              <w:rPr>
                <w:rFonts w:hint="eastAsia" w:ascii="宋体" w:hAnsi="宋体" w:eastAsia="宋体" w:cs="21"/>
                <w:color w:val="000000"/>
                <w:kern w:val="0"/>
                <w:sz w:val="24"/>
                <w:szCs w:val="22"/>
                <w14:ligatures w14:val="none"/>
              </w:rPr>
              <w:t>9</w:t>
            </w:r>
          </w:p>
        </w:tc>
        <w:tc>
          <w:tcPr>
            <w:tcW w:w="1535" w:type="dxa"/>
            <w:tcBorders>
              <w:top w:val="single" w:color="222222" w:sz="6" w:space="0"/>
              <w:left w:val="single" w:color="222222" w:sz="6" w:space="0"/>
              <w:bottom w:val="single" w:color="222222" w:sz="6" w:space="0"/>
              <w:right w:val="single" w:color="222222" w:sz="6" w:space="0"/>
            </w:tcBorders>
          </w:tcPr>
          <w:p w14:paraId="71D0CB3A">
            <w:pPr>
              <w:widowControl/>
              <w:spacing w:after="0" w:line="288" w:lineRule="auto"/>
              <w:rPr>
                <w:rFonts w:ascii="宋体" w:hAnsi="宋体" w:eastAsia="宋体" w:cs="21"/>
                <w:kern w:val="0"/>
                <w:szCs w:val="22"/>
                <w14:ligatures w14:val="none"/>
              </w:rPr>
            </w:pPr>
            <w:r>
              <w:rPr>
                <w:rFonts w:hint="eastAsia" w:ascii="宋体" w:hAnsi="宋体" w:eastAsia="宋体" w:cs="21"/>
                <w:color w:val="000000"/>
                <w:kern w:val="0"/>
                <w:sz w:val="24"/>
                <w:szCs w:val="22"/>
                <w14:ligatures w14:val="none"/>
              </w:rPr>
              <w:t>4</w:t>
            </w:r>
          </w:p>
        </w:tc>
        <w:tc>
          <w:tcPr>
            <w:tcW w:w="1560" w:type="dxa"/>
            <w:tcBorders>
              <w:top w:val="single" w:color="222222" w:sz="6" w:space="0"/>
              <w:left w:val="single" w:color="222222" w:sz="6" w:space="0"/>
              <w:bottom w:val="single" w:color="222222" w:sz="6" w:space="0"/>
              <w:right w:val="single" w:color="222222" w:sz="6" w:space="0"/>
            </w:tcBorders>
          </w:tcPr>
          <w:p w14:paraId="07A3AC61">
            <w:pPr>
              <w:widowControl/>
              <w:spacing w:after="0" w:line="288" w:lineRule="auto"/>
              <w:rPr>
                <w:rFonts w:ascii="宋体" w:hAnsi="宋体" w:eastAsia="宋体" w:cs="21"/>
                <w:kern w:val="0"/>
                <w:szCs w:val="22"/>
                <w14:ligatures w14:val="none"/>
              </w:rPr>
            </w:pPr>
            <w:r>
              <w:rPr>
                <w:rFonts w:hint="eastAsia" w:ascii="宋体" w:hAnsi="宋体" w:eastAsia="宋体" w:cs="21"/>
                <w:color w:val="000000"/>
                <w:kern w:val="0"/>
                <w:sz w:val="24"/>
                <w:szCs w:val="22"/>
                <w14:ligatures w14:val="none"/>
              </w:rPr>
              <w:t>2</w:t>
            </w:r>
          </w:p>
        </w:tc>
        <w:tc>
          <w:tcPr>
            <w:tcW w:w="1559" w:type="dxa"/>
            <w:tcBorders>
              <w:top w:val="single" w:color="222222" w:sz="6" w:space="0"/>
              <w:left w:val="single" w:color="222222" w:sz="6" w:space="0"/>
              <w:bottom w:val="single" w:color="222222" w:sz="6" w:space="0"/>
              <w:right w:val="single" w:color="222222" w:sz="6" w:space="0"/>
            </w:tcBorders>
          </w:tcPr>
          <w:p w14:paraId="696054E7">
            <w:pPr>
              <w:widowControl/>
              <w:spacing w:after="0" w:line="288" w:lineRule="auto"/>
              <w:rPr>
                <w:rFonts w:ascii="宋体" w:hAnsi="宋体" w:eastAsia="宋体" w:cs="21"/>
                <w:kern w:val="0"/>
                <w:szCs w:val="22"/>
                <w:lang w:eastAsia="en-US"/>
                <w14:ligatures w14:val="none"/>
              </w:rPr>
            </w:pPr>
            <w:r>
              <w:rPr>
                <w:rFonts w:hint="eastAsia" w:ascii="宋体" w:hAnsi="宋体" w:eastAsia="宋体" w:cs="21"/>
                <w:color w:val="000000"/>
                <w:kern w:val="0"/>
                <w:sz w:val="24"/>
                <w:szCs w:val="22"/>
                <w:lang w:eastAsia="en-US"/>
                <w14:ligatures w14:val="none"/>
              </w:rPr>
              <w:t>1</w:t>
            </w:r>
          </w:p>
        </w:tc>
        <w:tc>
          <w:tcPr>
            <w:tcW w:w="1559" w:type="dxa"/>
            <w:tcBorders>
              <w:top w:val="single" w:color="222222" w:sz="6" w:space="0"/>
              <w:left w:val="single" w:color="222222" w:sz="6" w:space="0"/>
              <w:bottom w:val="single" w:color="222222" w:sz="6" w:space="0"/>
              <w:right w:val="single" w:color="222222" w:sz="6" w:space="0"/>
            </w:tcBorders>
          </w:tcPr>
          <w:p w14:paraId="0F55E541">
            <w:pPr>
              <w:widowControl/>
              <w:spacing w:after="0" w:line="288" w:lineRule="auto"/>
              <w:rPr>
                <w:rFonts w:ascii="宋体" w:hAnsi="宋体" w:eastAsia="宋体" w:cs="21"/>
                <w:kern w:val="0"/>
                <w:szCs w:val="22"/>
                <w14:ligatures w14:val="none"/>
              </w:rPr>
            </w:pPr>
            <w:r>
              <w:rPr>
                <w:rFonts w:hint="eastAsia" w:ascii="宋体" w:hAnsi="宋体" w:eastAsia="宋体" w:cs="21"/>
                <w:color w:val="000000"/>
                <w:kern w:val="0"/>
                <w:sz w:val="24"/>
                <w:szCs w:val="22"/>
                <w14:ligatures w14:val="none"/>
              </w:rPr>
              <w:t>1</w:t>
            </w:r>
          </w:p>
        </w:tc>
        <w:tc>
          <w:tcPr>
            <w:tcW w:w="1559" w:type="dxa"/>
            <w:tcBorders>
              <w:top w:val="single" w:color="222222" w:sz="6" w:space="0"/>
              <w:left w:val="single" w:color="222222" w:sz="6" w:space="0"/>
              <w:bottom w:val="single" w:color="222222" w:sz="6" w:space="0"/>
              <w:right w:val="single" w:color="222222" w:sz="6" w:space="0"/>
            </w:tcBorders>
          </w:tcPr>
          <w:p w14:paraId="0A840CA8">
            <w:pPr>
              <w:widowControl/>
              <w:spacing w:after="0" w:line="288" w:lineRule="auto"/>
              <w:rPr>
                <w:rFonts w:ascii="宋体" w:hAnsi="宋体" w:eastAsia="宋体" w:cs="21"/>
                <w:kern w:val="0"/>
                <w:szCs w:val="22"/>
                <w14:ligatures w14:val="none"/>
              </w:rPr>
            </w:pPr>
            <w:r>
              <w:rPr>
                <w:rFonts w:hint="eastAsia" w:ascii="宋体" w:hAnsi="宋体" w:eastAsia="宋体" w:cs="21"/>
                <w:color w:val="000000"/>
                <w:kern w:val="0"/>
                <w:sz w:val="24"/>
                <w:szCs w:val="22"/>
                <w14:ligatures w14:val="none"/>
              </w:rPr>
              <w:t>1</w:t>
            </w:r>
          </w:p>
        </w:tc>
      </w:tr>
      <w:tr w14:paraId="6CD9A629">
        <w:tblPrEx>
          <w:tblCellMar>
            <w:top w:w="0" w:type="dxa"/>
            <w:left w:w="108" w:type="dxa"/>
            <w:bottom w:w="0" w:type="dxa"/>
            <w:right w:w="108" w:type="dxa"/>
          </w:tblCellMar>
        </w:tblPrEx>
        <w:tc>
          <w:tcPr>
            <w:tcW w:w="709" w:type="dxa"/>
            <w:tcBorders>
              <w:top w:val="single" w:color="222222" w:sz="6" w:space="0"/>
              <w:left w:val="single" w:color="222222" w:sz="6" w:space="0"/>
              <w:bottom w:val="single" w:color="222222" w:sz="6" w:space="0"/>
              <w:right w:val="single" w:color="222222" w:sz="6" w:space="0"/>
            </w:tcBorders>
          </w:tcPr>
          <w:p w14:paraId="5FF69E3B">
            <w:pPr>
              <w:widowControl/>
              <w:spacing w:after="0" w:line="288" w:lineRule="auto"/>
              <w:rPr>
                <w:rFonts w:ascii="宋体" w:hAnsi="宋体" w:eastAsia="宋体" w:cs="21"/>
                <w:kern w:val="0"/>
                <w:szCs w:val="22"/>
                <w:lang w:eastAsia="en-US"/>
                <w14:ligatures w14:val="none"/>
              </w:rPr>
            </w:pPr>
            <w:r>
              <w:rPr>
                <w:rFonts w:hint="eastAsia" w:ascii="宋体" w:hAnsi="宋体" w:eastAsia="宋体" w:cs="21"/>
                <w:color w:val="000000"/>
                <w:kern w:val="0"/>
                <w:sz w:val="24"/>
                <w:szCs w:val="22"/>
                <w:lang w:eastAsia="en-US"/>
                <w14:ligatures w14:val="none"/>
              </w:rPr>
              <w:t>金坛</w:t>
            </w:r>
          </w:p>
        </w:tc>
        <w:tc>
          <w:tcPr>
            <w:tcW w:w="733" w:type="dxa"/>
            <w:tcBorders>
              <w:top w:val="single" w:color="222222" w:sz="6" w:space="0"/>
              <w:left w:val="single" w:color="222222" w:sz="6" w:space="0"/>
              <w:bottom w:val="single" w:color="222222" w:sz="6" w:space="0"/>
              <w:right w:val="single" w:color="222222" w:sz="6" w:space="0"/>
            </w:tcBorders>
          </w:tcPr>
          <w:p w14:paraId="3C6F45C2">
            <w:pPr>
              <w:widowControl/>
              <w:spacing w:after="0" w:line="288" w:lineRule="auto"/>
              <w:rPr>
                <w:rFonts w:ascii="宋体" w:hAnsi="宋体" w:eastAsia="宋体" w:cs="21"/>
                <w:kern w:val="0"/>
                <w:szCs w:val="22"/>
                <w14:ligatures w14:val="none"/>
              </w:rPr>
            </w:pPr>
            <w:r>
              <w:rPr>
                <w:rFonts w:hint="eastAsia" w:ascii="宋体" w:hAnsi="宋体" w:eastAsia="宋体" w:cs="21"/>
                <w:color w:val="000000"/>
                <w:kern w:val="0"/>
                <w:sz w:val="24"/>
                <w:szCs w:val="22"/>
                <w14:ligatures w14:val="none"/>
              </w:rPr>
              <w:t>8</w:t>
            </w:r>
          </w:p>
        </w:tc>
        <w:tc>
          <w:tcPr>
            <w:tcW w:w="1535" w:type="dxa"/>
            <w:tcBorders>
              <w:top w:val="single" w:color="222222" w:sz="6" w:space="0"/>
              <w:left w:val="single" w:color="222222" w:sz="6" w:space="0"/>
              <w:bottom w:val="single" w:color="222222" w:sz="6" w:space="0"/>
              <w:right w:val="single" w:color="222222" w:sz="6" w:space="0"/>
            </w:tcBorders>
          </w:tcPr>
          <w:p w14:paraId="3B128984">
            <w:pPr>
              <w:widowControl/>
              <w:spacing w:after="0" w:line="288" w:lineRule="auto"/>
              <w:rPr>
                <w:rFonts w:ascii="宋体" w:hAnsi="宋体" w:eastAsia="宋体" w:cs="21"/>
                <w:kern w:val="0"/>
                <w:szCs w:val="22"/>
                <w14:ligatures w14:val="none"/>
              </w:rPr>
            </w:pPr>
            <w:r>
              <w:rPr>
                <w:rFonts w:hint="eastAsia" w:ascii="宋体" w:hAnsi="宋体" w:eastAsia="宋体" w:cs="21"/>
                <w:color w:val="000000"/>
                <w:kern w:val="0"/>
                <w:sz w:val="24"/>
                <w:szCs w:val="22"/>
                <w14:ligatures w14:val="none"/>
              </w:rPr>
              <w:t>3</w:t>
            </w:r>
          </w:p>
        </w:tc>
        <w:tc>
          <w:tcPr>
            <w:tcW w:w="1560" w:type="dxa"/>
            <w:tcBorders>
              <w:top w:val="single" w:color="222222" w:sz="6" w:space="0"/>
              <w:left w:val="single" w:color="222222" w:sz="6" w:space="0"/>
              <w:bottom w:val="single" w:color="222222" w:sz="6" w:space="0"/>
              <w:right w:val="single" w:color="222222" w:sz="6" w:space="0"/>
            </w:tcBorders>
          </w:tcPr>
          <w:p w14:paraId="43BE271D">
            <w:pPr>
              <w:widowControl/>
              <w:spacing w:after="0" w:line="288" w:lineRule="auto"/>
              <w:rPr>
                <w:rFonts w:ascii="宋体" w:hAnsi="宋体" w:eastAsia="宋体" w:cs="21"/>
                <w:kern w:val="0"/>
                <w:szCs w:val="22"/>
                <w14:ligatures w14:val="none"/>
              </w:rPr>
            </w:pPr>
            <w:r>
              <w:rPr>
                <w:rFonts w:hint="eastAsia" w:ascii="宋体" w:hAnsi="宋体" w:eastAsia="宋体" w:cs="21"/>
                <w:color w:val="000000"/>
                <w:kern w:val="0"/>
                <w:sz w:val="24"/>
                <w:szCs w:val="22"/>
                <w14:ligatures w14:val="none"/>
              </w:rPr>
              <w:t>2</w:t>
            </w:r>
          </w:p>
        </w:tc>
        <w:tc>
          <w:tcPr>
            <w:tcW w:w="1559" w:type="dxa"/>
            <w:tcBorders>
              <w:top w:val="single" w:color="222222" w:sz="6" w:space="0"/>
              <w:left w:val="single" w:color="222222" w:sz="6" w:space="0"/>
              <w:bottom w:val="single" w:color="222222" w:sz="6" w:space="0"/>
              <w:right w:val="single" w:color="222222" w:sz="6" w:space="0"/>
            </w:tcBorders>
          </w:tcPr>
          <w:p w14:paraId="751A24CA">
            <w:pPr>
              <w:widowControl/>
              <w:spacing w:after="0" w:line="288" w:lineRule="auto"/>
              <w:rPr>
                <w:rFonts w:ascii="宋体" w:hAnsi="宋体" w:eastAsia="宋体" w:cs="21"/>
                <w:kern w:val="0"/>
                <w:szCs w:val="22"/>
                <w:lang w:eastAsia="en-US"/>
                <w14:ligatures w14:val="none"/>
              </w:rPr>
            </w:pPr>
            <w:r>
              <w:rPr>
                <w:rFonts w:hint="eastAsia" w:ascii="宋体" w:hAnsi="宋体" w:eastAsia="宋体" w:cs="21"/>
                <w:color w:val="000000"/>
                <w:kern w:val="0"/>
                <w:sz w:val="24"/>
                <w:szCs w:val="22"/>
                <w:lang w:eastAsia="en-US"/>
                <w14:ligatures w14:val="none"/>
              </w:rPr>
              <w:t>1</w:t>
            </w:r>
          </w:p>
        </w:tc>
        <w:tc>
          <w:tcPr>
            <w:tcW w:w="1559" w:type="dxa"/>
            <w:tcBorders>
              <w:top w:val="single" w:color="222222" w:sz="6" w:space="0"/>
              <w:left w:val="single" w:color="222222" w:sz="6" w:space="0"/>
              <w:bottom w:val="single" w:color="222222" w:sz="6" w:space="0"/>
              <w:right w:val="single" w:color="222222" w:sz="6" w:space="0"/>
            </w:tcBorders>
          </w:tcPr>
          <w:p w14:paraId="63E0BF89">
            <w:pPr>
              <w:widowControl/>
              <w:spacing w:after="0" w:line="288" w:lineRule="auto"/>
              <w:rPr>
                <w:rFonts w:ascii="宋体" w:hAnsi="宋体" w:eastAsia="宋体" w:cs="21"/>
                <w:kern w:val="0"/>
                <w:szCs w:val="22"/>
                <w14:ligatures w14:val="none"/>
              </w:rPr>
            </w:pPr>
            <w:r>
              <w:rPr>
                <w:rFonts w:hint="eastAsia" w:ascii="宋体" w:hAnsi="宋体" w:eastAsia="宋体" w:cs="21"/>
                <w:color w:val="000000"/>
                <w:kern w:val="0"/>
                <w:sz w:val="24"/>
                <w:szCs w:val="22"/>
                <w14:ligatures w14:val="none"/>
              </w:rPr>
              <w:t>1</w:t>
            </w:r>
          </w:p>
        </w:tc>
        <w:tc>
          <w:tcPr>
            <w:tcW w:w="1559" w:type="dxa"/>
            <w:tcBorders>
              <w:top w:val="single" w:color="222222" w:sz="6" w:space="0"/>
              <w:left w:val="single" w:color="222222" w:sz="6" w:space="0"/>
              <w:bottom w:val="single" w:color="222222" w:sz="6" w:space="0"/>
              <w:right w:val="single" w:color="222222" w:sz="6" w:space="0"/>
            </w:tcBorders>
          </w:tcPr>
          <w:p w14:paraId="5A524DFA">
            <w:pPr>
              <w:widowControl/>
              <w:spacing w:after="0" w:line="288" w:lineRule="auto"/>
              <w:rPr>
                <w:rFonts w:ascii="宋体" w:hAnsi="宋体" w:eastAsia="宋体" w:cs="21"/>
                <w:kern w:val="0"/>
                <w:szCs w:val="22"/>
                <w:lang w:eastAsia="en-US"/>
                <w14:ligatures w14:val="none"/>
              </w:rPr>
            </w:pPr>
            <w:r>
              <w:rPr>
                <w:rFonts w:hint="eastAsia" w:ascii="宋体" w:hAnsi="宋体" w:eastAsia="宋体" w:cs="21"/>
                <w:color w:val="000000"/>
                <w:kern w:val="0"/>
                <w:sz w:val="24"/>
                <w:szCs w:val="22"/>
                <w:lang w:eastAsia="en-US"/>
                <w14:ligatures w14:val="none"/>
              </w:rPr>
              <w:t>1</w:t>
            </w:r>
          </w:p>
        </w:tc>
      </w:tr>
      <w:tr w14:paraId="2458EA58">
        <w:tblPrEx>
          <w:tblCellMar>
            <w:top w:w="0" w:type="dxa"/>
            <w:left w:w="108" w:type="dxa"/>
            <w:bottom w:w="0" w:type="dxa"/>
            <w:right w:w="108" w:type="dxa"/>
          </w:tblCellMar>
        </w:tblPrEx>
        <w:tc>
          <w:tcPr>
            <w:tcW w:w="709" w:type="dxa"/>
            <w:tcBorders>
              <w:top w:val="single" w:color="222222" w:sz="6" w:space="0"/>
              <w:left w:val="single" w:color="222222" w:sz="6" w:space="0"/>
              <w:bottom w:val="single" w:color="222222" w:sz="6" w:space="0"/>
              <w:right w:val="single" w:color="222222" w:sz="6" w:space="0"/>
            </w:tcBorders>
          </w:tcPr>
          <w:p w14:paraId="559FD307">
            <w:pPr>
              <w:widowControl/>
              <w:spacing w:after="0" w:line="288" w:lineRule="auto"/>
              <w:rPr>
                <w:rFonts w:ascii="宋体" w:hAnsi="宋体" w:eastAsia="宋体" w:cs="21"/>
                <w:kern w:val="0"/>
                <w:szCs w:val="22"/>
                <w:lang w:eastAsia="en-US"/>
                <w14:ligatures w14:val="none"/>
              </w:rPr>
            </w:pPr>
            <w:r>
              <w:rPr>
                <w:rFonts w:hint="eastAsia" w:ascii="宋体" w:hAnsi="宋体" w:eastAsia="宋体" w:cs="21"/>
                <w:color w:val="000000"/>
                <w:kern w:val="0"/>
                <w:sz w:val="24"/>
                <w:szCs w:val="22"/>
                <w:lang w:eastAsia="en-US"/>
                <w14:ligatures w14:val="none"/>
              </w:rPr>
              <w:t>武进</w:t>
            </w:r>
          </w:p>
        </w:tc>
        <w:tc>
          <w:tcPr>
            <w:tcW w:w="733" w:type="dxa"/>
            <w:tcBorders>
              <w:top w:val="single" w:color="222222" w:sz="6" w:space="0"/>
              <w:left w:val="single" w:color="222222" w:sz="6" w:space="0"/>
              <w:bottom w:val="single" w:color="222222" w:sz="6" w:space="0"/>
              <w:right w:val="single" w:color="222222" w:sz="6" w:space="0"/>
            </w:tcBorders>
          </w:tcPr>
          <w:p w14:paraId="10066054">
            <w:pPr>
              <w:widowControl/>
              <w:spacing w:after="0" w:line="288" w:lineRule="auto"/>
              <w:rPr>
                <w:rFonts w:ascii="宋体" w:hAnsi="宋体" w:eastAsia="宋体" w:cs="21"/>
                <w:kern w:val="0"/>
                <w:szCs w:val="22"/>
                <w14:ligatures w14:val="none"/>
              </w:rPr>
            </w:pPr>
            <w:r>
              <w:rPr>
                <w:rFonts w:hint="eastAsia" w:ascii="宋体" w:hAnsi="宋体" w:eastAsia="宋体" w:cs="21"/>
                <w:color w:val="000000"/>
                <w:kern w:val="0"/>
                <w:sz w:val="24"/>
                <w:szCs w:val="22"/>
                <w14:ligatures w14:val="none"/>
              </w:rPr>
              <w:t>10</w:t>
            </w:r>
          </w:p>
        </w:tc>
        <w:tc>
          <w:tcPr>
            <w:tcW w:w="1535" w:type="dxa"/>
            <w:tcBorders>
              <w:top w:val="single" w:color="222222" w:sz="6" w:space="0"/>
              <w:left w:val="single" w:color="222222" w:sz="6" w:space="0"/>
              <w:bottom w:val="single" w:color="222222" w:sz="6" w:space="0"/>
              <w:right w:val="single" w:color="222222" w:sz="6" w:space="0"/>
            </w:tcBorders>
          </w:tcPr>
          <w:p w14:paraId="018CEC20">
            <w:pPr>
              <w:widowControl/>
              <w:spacing w:after="0" w:line="288" w:lineRule="auto"/>
              <w:rPr>
                <w:rFonts w:ascii="宋体" w:hAnsi="宋体" w:eastAsia="宋体" w:cs="21"/>
                <w:kern w:val="0"/>
                <w:szCs w:val="22"/>
                <w14:ligatures w14:val="none"/>
              </w:rPr>
            </w:pPr>
            <w:r>
              <w:rPr>
                <w:rFonts w:hint="eastAsia" w:ascii="宋体" w:hAnsi="宋体" w:eastAsia="宋体" w:cs="21"/>
                <w:color w:val="000000"/>
                <w:kern w:val="0"/>
                <w:sz w:val="24"/>
                <w:szCs w:val="22"/>
                <w14:ligatures w14:val="none"/>
              </w:rPr>
              <w:t>5</w:t>
            </w:r>
          </w:p>
        </w:tc>
        <w:tc>
          <w:tcPr>
            <w:tcW w:w="1560" w:type="dxa"/>
            <w:tcBorders>
              <w:top w:val="single" w:color="222222" w:sz="6" w:space="0"/>
              <w:left w:val="single" w:color="222222" w:sz="6" w:space="0"/>
              <w:bottom w:val="single" w:color="222222" w:sz="6" w:space="0"/>
              <w:right w:val="single" w:color="222222" w:sz="6" w:space="0"/>
            </w:tcBorders>
          </w:tcPr>
          <w:p w14:paraId="321A119A">
            <w:pPr>
              <w:widowControl/>
              <w:spacing w:after="0" w:line="288" w:lineRule="auto"/>
              <w:rPr>
                <w:rFonts w:ascii="宋体" w:hAnsi="宋体" w:eastAsia="宋体" w:cs="21"/>
                <w:kern w:val="0"/>
                <w:szCs w:val="22"/>
                <w:lang w:eastAsia="en-US"/>
                <w14:ligatures w14:val="none"/>
              </w:rPr>
            </w:pPr>
            <w:r>
              <w:rPr>
                <w:rFonts w:hint="eastAsia" w:ascii="宋体" w:hAnsi="宋体" w:eastAsia="宋体" w:cs="21"/>
                <w:color w:val="000000"/>
                <w:kern w:val="0"/>
                <w:sz w:val="24"/>
                <w:szCs w:val="22"/>
                <w:lang w:eastAsia="en-US"/>
                <w14:ligatures w14:val="none"/>
              </w:rPr>
              <w:t>2</w:t>
            </w:r>
          </w:p>
        </w:tc>
        <w:tc>
          <w:tcPr>
            <w:tcW w:w="1559" w:type="dxa"/>
            <w:tcBorders>
              <w:top w:val="single" w:color="222222" w:sz="6" w:space="0"/>
              <w:left w:val="single" w:color="222222" w:sz="6" w:space="0"/>
              <w:bottom w:val="single" w:color="222222" w:sz="6" w:space="0"/>
              <w:right w:val="single" w:color="222222" w:sz="6" w:space="0"/>
            </w:tcBorders>
          </w:tcPr>
          <w:p w14:paraId="159A9340">
            <w:pPr>
              <w:widowControl/>
              <w:spacing w:after="0" w:line="288" w:lineRule="auto"/>
              <w:rPr>
                <w:rFonts w:ascii="宋体" w:hAnsi="宋体" w:eastAsia="宋体" w:cs="21"/>
                <w:kern w:val="0"/>
                <w:szCs w:val="22"/>
                <w14:ligatures w14:val="none"/>
              </w:rPr>
            </w:pPr>
            <w:r>
              <w:rPr>
                <w:rFonts w:hint="eastAsia" w:ascii="宋体" w:hAnsi="宋体" w:eastAsia="宋体" w:cs="21"/>
                <w:color w:val="000000"/>
                <w:kern w:val="0"/>
                <w:sz w:val="24"/>
                <w:szCs w:val="22"/>
                <w14:ligatures w14:val="none"/>
              </w:rPr>
              <w:t>1</w:t>
            </w:r>
          </w:p>
        </w:tc>
        <w:tc>
          <w:tcPr>
            <w:tcW w:w="1559" w:type="dxa"/>
            <w:tcBorders>
              <w:top w:val="single" w:color="222222" w:sz="6" w:space="0"/>
              <w:left w:val="single" w:color="222222" w:sz="6" w:space="0"/>
              <w:bottom w:val="single" w:color="222222" w:sz="6" w:space="0"/>
              <w:right w:val="single" w:color="222222" w:sz="6" w:space="0"/>
            </w:tcBorders>
          </w:tcPr>
          <w:p w14:paraId="0885340F">
            <w:pPr>
              <w:widowControl/>
              <w:spacing w:after="0" w:line="288" w:lineRule="auto"/>
              <w:rPr>
                <w:rFonts w:ascii="宋体" w:hAnsi="宋体" w:eastAsia="宋体" w:cs="21"/>
                <w:kern w:val="0"/>
                <w:szCs w:val="22"/>
                <w14:ligatures w14:val="none"/>
              </w:rPr>
            </w:pPr>
            <w:r>
              <w:rPr>
                <w:rFonts w:hint="eastAsia" w:ascii="宋体" w:hAnsi="宋体" w:eastAsia="宋体" w:cs="21"/>
                <w:color w:val="000000"/>
                <w:kern w:val="0"/>
                <w:sz w:val="24"/>
                <w:szCs w:val="22"/>
                <w14:ligatures w14:val="none"/>
              </w:rPr>
              <w:t>1</w:t>
            </w:r>
          </w:p>
        </w:tc>
        <w:tc>
          <w:tcPr>
            <w:tcW w:w="1559" w:type="dxa"/>
            <w:tcBorders>
              <w:top w:val="single" w:color="222222" w:sz="6" w:space="0"/>
              <w:left w:val="single" w:color="222222" w:sz="6" w:space="0"/>
              <w:bottom w:val="single" w:color="222222" w:sz="6" w:space="0"/>
              <w:right w:val="single" w:color="222222" w:sz="6" w:space="0"/>
            </w:tcBorders>
          </w:tcPr>
          <w:p w14:paraId="17AE5C00">
            <w:pPr>
              <w:widowControl/>
              <w:spacing w:after="0" w:line="288" w:lineRule="auto"/>
              <w:rPr>
                <w:rFonts w:ascii="宋体" w:hAnsi="宋体" w:eastAsia="宋体" w:cs="21"/>
                <w:kern w:val="0"/>
                <w:szCs w:val="22"/>
                <w14:ligatures w14:val="none"/>
              </w:rPr>
            </w:pPr>
            <w:r>
              <w:rPr>
                <w:rFonts w:hint="eastAsia" w:ascii="宋体" w:hAnsi="宋体" w:eastAsia="宋体" w:cs="21"/>
                <w:color w:val="000000"/>
                <w:kern w:val="0"/>
                <w:sz w:val="24"/>
                <w:szCs w:val="22"/>
                <w14:ligatures w14:val="none"/>
              </w:rPr>
              <w:t>1</w:t>
            </w:r>
          </w:p>
        </w:tc>
      </w:tr>
      <w:tr w14:paraId="67FD5387">
        <w:tblPrEx>
          <w:tblCellMar>
            <w:top w:w="0" w:type="dxa"/>
            <w:left w:w="108" w:type="dxa"/>
            <w:bottom w:w="0" w:type="dxa"/>
            <w:right w:w="108" w:type="dxa"/>
          </w:tblCellMar>
        </w:tblPrEx>
        <w:tc>
          <w:tcPr>
            <w:tcW w:w="709" w:type="dxa"/>
            <w:tcBorders>
              <w:top w:val="single" w:color="222222" w:sz="6" w:space="0"/>
              <w:left w:val="single" w:color="222222" w:sz="6" w:space="0"/>
              <w:bottom w:val="single" w:color="222222" w:sz="6" w:space="0"/>
              <w:right w:val="single" w:color="222222" w:sz="6" w:space="0"/>
            </w:tcBorders>
          </w:tcPr>
          <w:p w14:paraId="0AD85190">
            <w:pPr>
              <w:widowControl/>
              <w:spacing w:after="0" w:line="288" w:lineRule="auto"/>
              <w:rPr>
                <w:rFonts w:ascii="宋体" w:hAnsi="宋体" w:eastAsia="宋体" w:cs="21"/>
                <w:kern w:val="0"/>
                <w:szCs w:val="22"/>
                <w:lang w:eastAsia="en-US"/>
                <w14:ligatures w14:val="none"/>
              </w:rPr>
            </w:pPr>
            <w:r>
              <w:rPr>
                <w:rFonts w:hint="eastAsia" w:ascii="宋体" w:hAnsi="宋体" w:eastAsia="宋体" w:cs="21"/>
                <w:color w:val="000000"/>
                <w:kern w:val="0"/>
                <w:sz w:val="24"/>
                <w:szCs w:val="22"/>
                <w:lang w:eastAsia="en-US"/>
                <w14:ligatures w14:val="none"/>
              </w:rPr>
              <w:t>新北</w:t>
            </w:r>
          </w:p>
        </w:tc>
        <w:tc>
          <w:tcPr>
            <w:tcW w:w="733" w:type="dxa"/>
            <w:tcBorders>
              <w:top w:val="single" w:color="222222" w:sz="6" w:space="0"/>
              <w:left w:val="single" w:color="222222" w:sz="6" w:space="0"/>
              <w:bottom w:val="single" w:color="222222" w:sz="6" w:space="0"/>
              <w:right w:val="single" w:color="222222" w:sz="6" w:space="0"/>
            </w:tcBorders>
          </w:tcPr>
          <w:p w14:paraId="6143A136">
            <w:pPr>
              <w:widowControl/>
              <w:spacing w:after="0" w:line="288" w:lineRule="auto"/>
              <w:rPr>
                <w:rFonts w:ascii="宋体" w:hAnsi="宋体" w:eastAsia="宋体" w:cs="21"/>
                <w:kern w:val="0"/>
                <w:szCs w:val="22"/>
                <w14:ligatures w14:val="none"/>
              </w:rPr>
            </w:pPr>
            <w:r>
              <w:rPr>
                <w:rFonts w:hint="eastAsia" w:ascii="宋体" w:hAnsi="宋体" w:eastAsia="宋体" w:cs="21"/>
                <w:color w:val="000000"/>
                <w:kern w:val="0"/>
                <w:sz w:val="24"/>
                <w:szCs w:val="22"/>
                <w14:ligatures w14:val="none"/>
              </w:rPr>
              <w:t>9</w:t>
            </w:r>
          </w:p>
        </w:tc>
        <w:tc>
          <w:tcPr>
            <w:tcW w:w="1535" w:type="dxa"/>
            <w:tcBorders>
              <w:top w:val="single" w:color="222222" w:sz="6" w:space="0"/>
              <w:left w:val="single" w:color="222222" w:sz="6" w:space="0"/>
              <w:bottom w:val="single" w:color="222222" w:sz="6" w:space="0"/>
              <w:right w:val="single" w:color="222222" w:sz="6" w:space="0"/>
            </w:tcBorders>
          </w:tcPr>
          <w:p w14:paraId="685F8BE5">
            <w:pPr>
              <w:widowControl/>
              <w:spacing w:after="0" w:line="288" w:lineRule="auto"/>
              <w:rPr>
                <w:rFonts w:ascii="宋体" w:hAnsi="宋体" w:eastAsia="宋体" w:cs="21"/>
                <w:kern w:val="0"/>
                <w:szCs w:val="22"/>
                <w14:ligatures w14:val="none"/>
              </w:rPr>
            </w:pPr>
            <w:r>
              <w:rPr>
                <w:rFonts w:hint="eastAsia" w:ascii="宋体" w:hAnsi="宋体" w:eastAsia="宋体" w:cs="21"/>
                <w:color w:val="000000"/>
                <w:kern w:val="0"/>
                <w:sz w:val="24"/>
                <w:szCs w:val="22"/>
                <w14:ligatures w14:val="none"/>
              </w:rPr>
              <w:t>4</w:t>
            </w:r>
          </w:p>
        </w:tc>
        <w:tc>
          <w:tcPr>
            <w:tcW w:w="1560" w:type="dxa"/>
            <w:tcBorders>
              <w:top w:val="single" w:color="222222" w:sz="6" w:space="0"/>
              <w:left w:val="single" w:color="222222" w:sz="6" w:space="0"/>
              <w:bottom w:val="single" w:color="222222" w:sz="6" w:space="0"/>
              <w:right w:val="single" w:color="222222" w:sz="6" w:space="0"/>
            </w:tcBorders>
          </w:tcPr>
          <w:p w14:paraId="4911799E">
            <w:pPr>
              <w:widowControl/>
              <w:spacing w:after="0" w:line="288" w:lineRule="auto"/>
              <w:rPr>
                <w:rFonts w:ascii="宋体" w:hAnsi="宋体" w:eastAsia="宋体" w:cs="21"/>
                <w:kern w:val="0"/>
                <w:szCs w:val="22"/>
                <w14:ligatures w14:val="none"/>
              </w:rPr>
            </w:pPr>
            <w:r>
              <w:rPr>
                <w:rFonts w:hint="eastAsia" w:ascii="宋体" w:hAnsi="宋体" w:eastAsia="宋体" w:cs="21"/>
                <w:color w:val="000000"/>
                <w:kern w:val="0"/>
                <w:sz w:val="24"/>
                <w:szCs w:val="22"/>
                <w14:ligatures w14:val="none"/>
              </w:rPr>
              <w:t>2</w:t>
            </w:r>
          </w:p>
        </w:tc>
        <w:tc>
          <w:tcPr>
            <w:tcW w:w="1559" w:type="dxa"/>
            <w:tcBorders>
              <w:top w:val="single" w:color="222222" w:sz="6" w:space="0"/>
              <w:left w:val="single" w:color="222222" w:sz="6" w:space="0"/>
              <w:bottom w:val="single" w:color="222222" w:sz="6" w:space="0"/>
              <w:right w:val="single" w:color="222222" w:sz="6" w:space="0"/>
            </w:tcBorders>
          </w:tcPr>
          <w:p w14:paraId="6576DE43">
            <w:pPr>
              <w:widowControl/>
              <w:spacing w:after="0" w:line="288" w:lineRule="auto"/>
              <w:rPr>
                <w:rFonts w:ascii="宋体" w:hAnsi="宋体" w:eastAsia="宋体" w:cs="21"/>
                <w:kern w:val="0"/>
                <w:szCs w:val="22"/>
                <w:lang w:eastAsia="en-US"/>
                <w14:ligatures w14:val="none"/>
              </w:rPr>
            </w:pPr>
            <w:r>
              <w:rPr>
                <w:rFonts w:hint="eastAsia" w:ascii="宋体" w:hAnsi="宋体" w:eastAsia="宋体" w:cs="21"/>
                <w:color w:val="000000"/>
                <w:kern w:val="0"/>
                <w:sz w:val="24"/>
                <w:szCs w:val="22"/>
                <w:lang w:eastAsia="en-US"/>
                <w14:ligatures w14:val="none"/>
              </w:rPr>
              <w:t>1</w:t>
            </w:r>
          </w:p>
        </w:tc>
        <w:tc>
          <w:tcPr>
            <w:tcW w:w="1559" w:type="dxa"/>
            <w:tcBorders>
              <w:top w:val="single" w:color="222222" w:sz="6" w:space="0"/>
              <w:left w:val="single" w:color="222222" w:sz="6" w:space="0"/>
              <w:bottom w:val="single" w:color="222222" w:sz="6" w:space="0"/>
              <w:right w:val="single" w:color="222222" w:sz="6" w:space="0"/>
            </w:tcBorders>
          </w:tcPr>
          <w:p w14:paraId="5784B53C">
            <w:pPr>
              <w:widowControl/>
              <w:spacing w:after="0" w:line="288" w:lineRule="auto"/>
              <w:rPr>
                <w:rFonts w:ascii="宋体" w:hAnsi="宋体" w:eastAsia="宋体" w:cs="21"/>
                <w:kern w:val="0"/>
                <w:szCs w:val="22"/>
                <w14:ligatures w14:val="none"/>
              </w:rPr>
            </w:pPr>
            <w:r>
              <w:rPr>
                <w:rFonts w:hint="eastAsia" w:ascii="宋体" w:hAnsi="宋体" w:eastAsia="宋体" w:cs="21"/>
                <w:color w:val="000000"/>
                <w:kern w:val="0"/>
                <w:sz w:val="24"/>
                <w:szCs w:val="22"/>
                <w14:ligatures w14:val="none"/>
              </w:rPr>
              <w:t>1</w:t>
            </w:r>
          </w:p>
        </w:tc>
        <w:tc>
          <w:tcPr>
            <w:tcW w:w="1559" w:type="dxa"/>
            <w:tcBorders>
              <w:top w:val="single" w:color="222222" w:sz="6" w:space="0"/>
              <w:left w:val="single" w:color="222222" w:sz="6" w:space="0"/>
              <w:bottom w:val="single" w:color="222222" w:sz="6" w:space="0"/>
              <w:right w:val="single" w:color="222222" w:sz="6" w:space="0"/>
            </w:tcBorders>
          </w:tcPr>
          <w:p w14:paraId="3CF084CE">
            <w:pPr>
              <w:widowControl/>
              <w:spacing w:after="0" w:line="288" w:lineRule="auto"/>
              <w:rPr>
                <w:rFonts w:ascii="宋体" w:hAnsi="宋体" w:eastAsia="宋体" w:cs="21"/>
                <w:kern w:val="0"/>
                <w:szCs w:val="22"/>
                <w:lang w:eastAsia="en-US"/>
                <w14:ligatures w14:val="none"/>
              </w:rPr>
            </w:pPr>
            <w:r>
              <w:rPr>
                <w:rFonts w:hint="eastAsia" w:ascii="宋体" w:hAnsi="宋体" w:eastAsia="宋体" w:cs="21"/>
                <w:color w:val="000000"/>
                <w:kern w:val="0"/>
                <w:sz w:val="24"/>
                <w:szCs w:val="22"/>
                <w:lang w:eastAsia="en-US"/>
                <w14:ligatures w14:val="none"/>
              </w:rPr>
              <w:t>1</w:t>
            </w:r>
          </w:p>
        </w:tc>
      </w:tr>
      <w:tr w14:paraId="0FA4D2F0">
        <w:tblPrEx>
          <w:tblCellMar>
            <w:top w:w="0" w:type="dxa"/>
            <w:left w:w="108" w:type="dxa"/>
            <w:bottom w:w="0" w:type="dxa"/>
            <w:right w:w="108" w:type="dxa"/>
          </w:tblCellMar>
        </w:tblPrEx>
        <w:tc>
          <w:tcPr>
            <w:tcW w:w="709" w:type="dxa"/>
            <w:tcBorders>
              <w:top w:val="single" w:color="222222" w:sz="6" w:space="0"/>
              <w:left w:val="single" w:color="222222" w:sz="6" w:space="0"/>
              <w:bottom w:val="single" w:color="222222" w:sz="6" w:space="0"/>
              <w:right w:val="single" w:color="222222" w:sz="6" w:space="0"/>
            </w:tcBorders>
          </w:tcPr>
          <w:p w14:paraId="430F83DB">
            <w:pPr>
              <w:widowControl/>
              <w:spacing w:after="0" w:line="288" w:lineRule="auto"/>
              <w:rPr>
                <w:rFonts w:ascii="宋体" w:hAnsi="宋体" w:eastAsia="宋体" w:cs="21"/>
                <w:kern w:val="0"/>
                <w:szCs w:val="22"/>
                <w:lang w:eastAsia="en-US"/>
                <w14:ligatures w14:val="none"/>
              </w:rPr>
            </w:pPr>
            <w:r>
              <w:rPr>
                <w:rFonts w:hint="eastAsia" w:ascii="宋体" w:hAnsi="宋体" w:eastAsia="宋体" w:cs="21"/>
                <w:color w:val="000000"/>
                <w:kern w:val="0"/>
                <w:sz w:val="24"/>
                <w:szCs w:val="22"/>
                <w:lang w:eastAsia="en-US"/>
                <w14:ligatures w14:val="none"/>
              </w:rPr>
              <w:t>天宁</w:t>
            </w:r>
          </w:p>
        </w:tc>
        <w:tc>
          <w:tcPr>
            <w:tcW w:w="733" w:type="dxa"/>
            <w:tcBorders>
              <w:top w:val="single" w:color="222222" w:sz="6" w:space="0"/>
              <w:left w:val="single" w:color="222222" w:sz="6" w:space="0"/>
              <w:bottom w:val="single" w:color="222222" w:sz="6" w:space="0"/>
              <w:right w:val="single" w:color="222222" w:sz="6" w:space="0"/>
            </w:tcBorders>
          </w:tcPr>
          <w:p w14:paraId="0464FF9B">
            <w:pPr>
              <w:widowControl/>
              <w:spacing w:after="0" w:line="288" w:lineRule="auto"/>
              <w:rPr>
                <w:rFonts w:ascii="宋体" w:hAnsi="宋体" w:eastAsia="宋体" w:cs="21"/>
                <w:kern w:val="0"/>
                <w:szCs w:val="22"/>
                <w14:ligatures w14:val="none"/>
              </w:rPr>
            </w:pPr>
            <w:r>
              <w:rPr>
                <w:rFonts w:hint="eastAsia" w:ascii="宋体" w:hAnsi="宋体" w:eastAsia="宋体" w:cs="21"/>
                <w:color w:val="000000"/>
                <w:kern w:val="0"/>
                <w:sz w:val="24"/>
                <w:szCs w:val="22"/>
                <w14:ligatures w14:val="none"/>
              </w:rPr>
              <w:t>8</w:t>
            </w:r>
          </w:p>
        </w:tc>
        <w:tc>
          <w:tcPr>
            <w:tcW w:w="1535" w:type="dxa"/>
            <w:tcBorders>
              <w:top w:val="single" w:color="222222" w:sz="6" w:space="0"/>
              <w:left w:val="single" w:color="222222" w:sz="6" w:space="0"/>
              <w:bottom w:val="single" w:color="222222" w:sz="6" w:space="0"/>
              <w:right w:val="single" w:color="222222" w:sz="6" w:space="0"/>
            </w:tcBorders>
          </w:tcPr>
          <w:p w14:paraId="130D72A2">
            <w:pPr>
              <w:widowControl/>
              <w:spacing w:after="0" w:line="288" w:lineRule="auto"/>
              <w:rPr>
                <w:rFonts w:ascii="宋体" w:hAnsi="宋体" w:eastAsia="宋体" w:cs="21"/>
                <w:kern w:val="0"/>
                <w:szCs w:val="22"/>
                <w14:ligatures w14:val="none"/>
              </w:rPr>
            </w:pPr>
            <w:r>
              <w:rPr>
                <w:rFonts w:hint="eastAsia" w:ascii="宋体" w:hAnsi="宋体" w:eastAsia="宋体" w:cs="21"/>
                <w:color w:val="000000"/>
                <w:kern w:val="0"/>
                <w:sz w:val="24"/>
                <w:szCs w:val="22"/>
                <w14:ligatures w14:val="none"/>
              </w:rPr>
              <w:t>3</w:t>
            </w:r>
          </w:p>
        </w:tc>
        <w:tc>
          <w:tcPr>
            <w:tcW w:w="1560" w:type="dxa"/>
            <w:tcBorders>
              <w:top w:val="single" w:color="222222" w:sz="6" w:space="0"/>
              <w:left w:val="single" w:color="222222" w:sz="6" w:space="0"/>
              <w:bottom w:val="single" w:color="222222" w:sz="6" w:space="0"/>
              <w:right w:val="single" w:color="222222" w:sz="6" w:space="0"/>
            </w:tcBorders>
          </w:tcPr>
          <w:p w14:paraId="06469008">
            <w:pPr>
              <w:widowControl/>
              <w:spacing w:after="0" w:line="288" w:lineRule="auto"/>
              <w:rPr>
                <w:rFonts w:ascii="宋体" w:hAnsi="宋体" w:eastAsia="宋体" w:cs="21"/>
                <w:kern w:val="0"/>
                <w:szCs w:val="22"/>
                <w14:ligatures w14:val="none"/>
              </w:rPr>
            </w:pPr>
            <w:r>
              <w:rPr>
                <w:rFonts w:hint="eastAsia" w:ascii="宋体" w:hAnsi="宋体" w:eastAsia="宋体" w:cs="21"/>
                <w:color w:val="000000"/>
                <w:kern w:val="0"/>
                <w:sz w:val="24"/>
                <w:szCs w:val="22"/>
                <w14:ligatures w14:val="none"/>
              </w:rPr>
              <w:t>2</w:t>
            </w:r>
          </w:p>
        </w:tc>
        <w:tc>
          <w:tcPr>
            <w:tcW w:w="1559" w:type="dxa"/>
            <w:tcBorders>
              <w:top w:val="single" w:color="222222" w:sz="6" w:space="0"/>
              <w:left w:val="single" w:color="222222" w:sz="6" w:space="0"/>
              <w:bottom w:val="single" w:color="222222" w:sz="6" w:space="0"/>
              <w:right w:val="single" w:color="222222" w:sz="6" w:space="0"/>
            </w:tcBorders>
          </w:tcPr>
          <w:p w14:paraId="30FD98CB">
            <w:pPr>
              <w:widowControl/>
              <w:spacing w:after="0" w:line="288" w:lineRule="auto"/>
              <w:rPr>
                <w:rFonts w:ascii="宋体" w:hAnsi="宋体" w:eastAsia="宋体" w:cs="21"/>
                <w:kern w:val="0"/>
                <w:szCs w:val="22"/>
                <w:lang w:eastAsia="en-US"/>
                <w14:ligatures w14:val="none"/>
              </w:rPr>
            </w:pPr>
            <w:r>
              <w:rPr>
                <w:rFonts w:hint="eastAsia" w:ascii="宋体" w:hAnsi="宋体" w:eastAsia="宋体" w:cs="21"/>
                <w:color w:val="000000"/>
                <w:kern w:val="0"/>
                <w:sz w:val="24"/>
                <w:szCs w:val="22"/>
                <w:lang w:eastAsia="en-US"/>
                <w14:ligatures w14:val="none"/>
              </w:rPr>
              <w:t>1</w:t>
            </w:r>
          </w:p>
        </w:tc>
        <w:tc>
          <w:tcPr>
            <w:tcW w:w="1559" w:type="dxa"/>
            <w:tcBorders>
              <w:top w:val="single" w:color="222222" w:sz="6" w:space="0"/>
              <w:left w:val="single" w:color="222222" w:sz="6" w:space="0"/>
              <w:bottom w:val="single" w:color="222222" w:sz="6" w:space="0"/>
              <w:right w:val="single" w:color="222222" w:sz="6" w:space="0"/>
            </w:tcBorders>
          </w:tcPr>
          <w:p w14:paraId="3C2D30DB">
            <w:pPr>
              <w:widowControl/>
              <w:spacing w:after="0" w:line="288" w:lineRule="auto"/>
              <w:rPr>
                <w:rFonts w:ascii="宋体" w:hAnsi="宋体" w:eastAsia="宋体" w:cs="21"/>
                <w:kern w:val="0"/>
                <w:szCs w:val="22"/>
                <w14:ligatures w14:val="none"/>
              </w:rPr>
            </w:pPr>
            <w:r>
              <w:rPr>
                <w:rFonts w:hint="eastAsia" w:ascii="宋体" w:hAnsi="宋体" w:eastAsia="宋体" w:cs="21"/>
                <w:color w:val="000000"/>
                <w:kern w:val="0"/>
                <w:sz w:val="24"/>
                <w:szCs w:val="22"/>
                <w14:ligatures w14:val="none"/>
              </w:rPr>
              <w:t>1</w:t>
            </w:r>
          </w:p>
        </w:tc>
        <w:tc>
          <w:tcPr>
            <w:tcW w:w="1559" w:type="dxa"/>
            <w:tcBorders>
              <w:top w:val="single" w:color="222222" w:sz="6" w:space="0"/>
              <w:left w:val="single" w:color="222222" w:sz="6" w:space="0"/>
              <w:bottom w:val="single" w:color="222222" w:sz="6" w:space="0"/>
              <w:right w:val="single" w:color="222222" w:sz="6" w:space="0"/>
            </w:tcBorders>
          </w:tcPr>
          <w:p w14:paraId="400C25FE">
            <w:pPr>
              <w:widowControl/>
              <w:spacing w:after="0" w:line="288" w:lineRule="auto"/>
              <w:rPr>
                <w:rFonts w:ascii="宋体" w:hAnsi="宋体" w:eastAsia="宋体" w:cs="21"/>
                <w:kern w:val="0"/>
                <w:szCs w:val="22"/>
                <w:lang w:eastAsia="en-US"/>
                <w14:ligatures w14:val="none"/>
              </w:rPr>
            </w:pPr>
            <w:r>
              <w:rPr>
                <w:rFonts w:hint="eastAsia" w:ascii="宋体" w:hAnsi="宋体" w:eastAsia="宋体" w:cs="21"/>
                <w:color w:val="000000"/>
                <w:kern w:val="0"/>
                <w:sz w:val="24"/>
                <w:szCs w:val="22"/>
                <w:lang w:eastAsia="en-US"/>
                <w14:ligatures w14:val="none"/>
              </w:rPr>
              <w:t>1</w:t>
            </w:r>
          </w:p>
        </w:tc>
      </w:tr>
      <w:tr w14:paraId="4037606B">
        <w:tblPrEx>
          <w:tblCellMar>
            <w:top w:w="0" w:type="dxa"/>
            <w:left w:w="108" w:type="dxa"/>
            <w:bottom w:w="0" w:type="dxa"/>
            <w:right w:w="108" w:type="dxa"/>
          </w:tblCellMar>
        </w:tblPrEx>
        <w:tc>
          <w:tcPr>
            <w:tcW w:w="709" w:type="dxa"/>
            <w:tcBorders>
              <w:top w:val="single" w:color="222222" w:sz="6" w:space="0"/>
              <w:left w:val="single" w:color="222222" w:sz="6" w:space="0"/>
              <w:bottom w:val="single" w:color="222222" w:sz="6" w:space="0"/>
              <w:right w:val="single" w:color="222222" w:sz="6" w:space="0"/>
            </w:tcBorders>
          </w:tcPr>
          <w:p w14:paraId="4C0DA801">
            <w:pPr>
              <w:widowControl/>
              <w:spacing w:after="0" w:line="288" w:lineRule="auto"/>
              <w:rPr>
                <w:rFonts w:ascii="宋体" w:hAnsi="宋体" w:eastAsia="宋体" w:cs="21"/>
                <w:kern w:val="0"/>
                <w:szCs w:val="22"/>
                <w:lang w:eastAsia="en-US"/>
                <w14:ligatures w14:val="none"/>
              </w:rPr>
            </w:pPr>
            <w:r>
              <w:rPr>
                <w:rFonts w:hint="eastAsia" w:ascii="宋体" w:hAnsi="宋体" w:eastAsia="宋体" w:cs="21"/>
                <w:color w:val="000000"/>
                <w:kern w:val="0"/>
                <w:sz w:val="24"/>
                <w:szCs w:val="22"/>
                <w:lang w:eastAsia="en-US"/>
                <w14:ligatures w14:val="none"/>
              </w:rPr>
              <w:t>钟楼</w:t>
            </w:r>
          </w:p>
        </w:tc>
        <w:tc>
          <w:tcPr>
            <w:tcW w:w="733" w:type="dxa"/>
            <w:tcBorders>
              <w:top w:val="single" w:color="222222" w:sz="6" w:space="0"/>
              <w:left w:val="single" w:color="222222" w:sz="6" w:space="0"/>
              <w:bottom w:val="single" w:color="222222" w:sz="6" w:space="0"/>
              <w:right w:val="single" w:color="222222" w:sz="6" w:space="0"/>
            </w:tcBorders>
          </w:tcPr>
          <w:p w14:paraId="64170A67">
            <w:pPr>
              <w:widowControl/>
              <w:spacing w:after="0" w:line="288" w:lineRule="auto"/>
              <w:rPr>
                <w:rFonts w:ascii="宋体" w:hAnsi="宋体" w:eastAsia="宋体" w:cs="21"/>
                <w:kern w:val="0"/>
                <w:szCs w:val="22"/>
                <w14:ligatures w14:val="none"/>
              </w:rPr>
            </w:pPr>
            <w:r>
              <w:rPr>
                <w:rFonts w:hint="eastAsia" w:ascii="宋体" w:hAnsi="宋体" w:eastAsia="宋体" w:cs="21"/>
                <w:color w:val="000000"/>
                <w:kern w:val="0"/>
                <w:sz w:val="24"/>
                <w:szCs w:val="22"/>
                <w14:ligatures w14:val="none"/>
              </w:rPr>
              <w:t>9</w:t>
            </w:r>
          </w:p>
        </w:tc>
        <w:tc>
          <w:tcPr>
            <w:tcW w:w="1535" w:type="dxa"/>
            <w:tcBorders>
              <w:top w:val="single" w:color="222222" w:sz="6" w:space="0"/>
              <w:left w:val="single" w:color="222222" w:sz="6" w:space="0"/>
              <w:bottom w:val="single" w:color="222222" w:sz="6" w:space="0"/>
              <w:right w:val="single" w:color="222222" w:sz="6" w:space="0"/>
            </w:tcBorders>
          </w:tcPr>
          <w:p w14:paraId="22AA4835">
            <w:pPr>
              <w:widowControl/>
              <w:spacing w:after="0" w:line="288" w:lineRule="auto"/>
              <w:rPr>
                <w:rFonts w:ascii="宋体" w:hAnsi="宋体" w:eastAsia="宋体" w:cs="21"/>
                <w:kern w:val="0"/>
                <w:szCs w:val="22"/>
                <w14:ligatures w14:val="none"/>
              </w:rPr>
            </w:pPr>
            <w:r>
              <w:rPr>
                <w:rFonts w:hint="eastAsia" w:ascii="宋体" w:hAnsi="宋体" w:eastAsia="宋体" w:cs="21"/>
                <w:color w:val="000000"/>
                <w:kern w:val="0"/>
                <w:sz w:val="24"/>
                <w:szCs w:val="22"/>
                <w14:ligatures w14:val="none"/>
              </w:rPr>
              <w:t>4</w:t>
            </w:r>
          </w:p>
        </w:tc>
        <w:tc>
          <w:tcPr>
            <w:tcW w:w="1560" w:type="dxa"/>
            <w:tcBorders>
              <w:top w:val="single" w:color="222222" w:sz="6" w:space="0"/>
              <w:left w:val="single" w:color="222222" w:sz="6" w:space="0"/>
              <w:bottom w:val="single" w:color="222222" w:sz="6" w:space="0"/>
              <w:right w:val="single" w:color="222222" w:sz="6" w:space="0"/>
            </w:tcBorders>
          </w:tcPr>
          <w:p w14:paraId="37A36532">
            <w:pPr>
              <w:widowControl/>
              <w:spacing w:after="0" w:line="288" w:lineRule="auto"/>
              <w:rPr>
                <w:rFonts w:ascii="宋体" w:hAnsi="宋体" w:eastAsia="宋体" w:cs="21"/>
                <w:kern w:val="0"/>
                <w:szCs w:val="22"/>
                <w14:ligatures w14:val="none"/>
              </w:rPr>
            </w:pPr>
            <w:r>
              <w:rPr>
                <w:rFonts w:hint="eastAsia" w:ascii="宋体" w:hAnsi="宋体" w:eastAsia="宋体" w:cs="21"/>
                <w:color w:val="000000"/>
                <w:kern w:val="0"/>
                <w:sz w:val="24"/>
                <w:szCs w:val="22"/>
                <w14:ligatures w14:val="none"/>
              </w:rPr>
              <w:t>2</w:t>
            </w:r>
          </w:p>
        </w:tc>
        <w:tc>
          <w:tcPr>
            <w:tcW w:w="1559" w:type="dxa"/>
            <w:tcBorders>
              <w:top w:val="single" w:color="222222" w:sz="6" w:space="0"/>
              <w:left w:val="single" w:color="222222" w:sz="6" w:space="0"/>
              <w:bottom w:val="single" w:color="222222" w:sz="6" w:space="0"/>
              <w:right w:val="single" w:color="222222" w:sz="6" w:space="0"/>
            </w:tcBorders>
          </w:tcPr>
          <w:p w14:paraId="598EA198">
            <w:pPr>
              <w:widowControl/>
              <w:spacing w:after="0" w:line="288" w:lineRule="auto"/>
              <w:rPr>
                <w:rFonts w:ascii="宋体" w:hAnsi="宋体" w:eastAsia="宋体" w:cs="21"/>
                <w:kern w:val="0"/>
                <w:szCs w:val="22"/>
                <w:lang w:eastAsia="en-US"/>
                <w14:ligatures w14:val="none"/>
              </w:rPr>
            </w:pPr>
            <w:r>
              <w:rPr>
                <w:rFonts w:hint="eastAsia" w:ascii="宋体" w:hAnsi="宋体" w:eastAsia="宋体" w:cs="21"/>
                <w:color w:val="000000"/>
                <w:kern w:val="0"/>
                <w:sz w:val="24"/>
                <w:szCs w:val="22"/>
                <w:lang w:eastAsia="en-US"/>
                <w14:ligatures w14:val="none"/>
              </w:rPr>
              <w:t>1</w:t>
            </w:r>
          </w:p>
        </w:tc>
        <w:tc>
          <w:tcPr>
            <w:tcW w:w="1559" w:type="dxa"/>
            <w:tcBorders>
              <w:top w:val="single" w:color="222222" w:sz="6" w:space="0"/>
              <w:left w:val="single" w:color="222222" w:sz="6" w:space="0"/>
              <w:bottom w:val="single" w:color="222222" w:sz="6" w:space="0"/>
              <w:right w:val="single" w:color="222222" w:sz="6" w:space="0"/>
            </w:tcBorders>
          </w:tcPr>
          <w:p w14:paraId="158F7B12">
            <w:pPr>
              <w:widowControl/>
              <w:spacing w:after="0" w:line="288" w:lineRule="auto"/>
              <w:rPr>
                <w:rFonts w:ascii="宋体" w:hAnsi="宋体" w:eastAsia="宋体" w:cs="21"/>
                <w:kern w:val="0"/>
                <w:szCs w:val="22"/>
                <w14:ligatures w14:val="none"/>
              </w:rPr>
            </w:pPr>
            <w:r>
              <w:rPr>
                <w:rFonts w:hint="eastAsia" w:ascii="宋体" w:hAnsi="宋体" w:eastAsia="宋体" w:cs="21"/>
                <w:color w:val="000000"/>
                <w:kern w:val="0"/>
                <w:sz w:val="24"/>
                <w:szCs w:val="22"/>
                <w14:ligatures w14:val="none"/>
              </w:rPr>
              <w:t>1</w:t>
            </w:r>
          </w:p>
        </w:tc>
        <w:tc>
          <w:tcPr>
            <w:tcW w:w="1559" w:type="dxa"/>
            <w:tcBorders>
              <w:top w:val="single" w:color="222222" w:sz="6" w:space="0"/>
              <w:left w:val="single" w:color="222222" w:sz="6" w:space="0"/>
              <w:bottom w:val="single" w:color="222222" w:sz="6" w:space="0"/>
              <w:right w:val="single" w:color="222222" w:sz="6" w:space="0"/>
            </w:tcBorders>
          </w:tcPr>
          <w:p w14:paraId="77D7859E">
            <w:pPr>
              <w:widowControl/>
              <w:spacing w:after="0" w:line="288" w:lineRule="auto"/>
              <w:rPr>
                <w:rFonts w:ascii="宋体" w:hAnsi="宋体" w:eastAsia="宋体" w:cs="21"/>
                <w:kern w:val="0"/>
                <w:szCs w:val="22"/>
                <w:lang w:eastAsia="en-US"/>
                <w14:ligatures w14:val="none"/>
              </w:rPr>
            </w:pPr>
            <w:r>
              <w:rPr>
                <w:rFonts w:hint="eastAsia" w:ascii="宋体" w:hAnsi="宋体" w:eastAsia="宋体" w:cs="21"/>
                <w:color w:val="000000"/>
                <w:kern w:val="0"/>
                <w:sz w:val="24"/>
                <w:szCs w:val="22"/>
                <w:lang w:eastAsia="en-US"/>
                <w14:ligatures w14:val="none"/>
              </w:rPr>
              <w:t>1</w:t>
            </w:r>
          </w:p>
        </w:tc>
      </w:tr>
      <w:tr w14:paraId="11534331">
        <w:tblPrEx>
          <w:tblCellMar>
            <w:top w:w="0" w:type="dxa"/>
            <w:left w:w="108" w:type="dxa"/>
            <w:bottom w:w="0" w:type="dxa"/>
            <w:right w:w="108" w:type="dxa"/>
          </w:tblCellMar>
        </w:tblPrEx>
        <w:tc>
          <w:tcPr>
            <w:tcW w:w="709" w:type="dxa"/>
            <w:tcBorders>
              <w:top w:val="single" w:color="222222" w:sz="6" w:space="0"/>
              <w:left w:val="single" w:color="222222" w:sz="6" w:space="0"/>
              <w:bottom w:val="single" w:color="222222" w:sz="6" w:space="0"/>
              <w:right w:val="single" w:color="222222" w:sz="6" w:space="0"/>
            </w:tcBorders>
          </w:tcPr>
          <w:p w14:paraId="6875DF88">
            <w:pPr>
              <w:widowControl/>
              <w:spacing w:after="0" w:line="288" w:lineRule="auto"/>
              <w:rPr>
                <w:rFonts w:ascii="宋体" w:hAnsi="宋体" w:eastAsia="宋体" w:cs="21"/>
                <w:kern w:val="0"/>
                <w:szCs w:val="22"/>
                <w:lang w:eastAsia="en-US"/>
                <w14:ligatures w14:val="none"/>
              </w:rPr>
            </w:pPr>
            <w:r>
              <w:rPr>
                <w:rFonts w:hint="eastAsia" w:ascii="宋体" w:hAnsi="宋体" w:eastAsia="宋体" w:cs="21"/>
                <w:color w:val="000000"/>
                <w:kern w:val="0"/>
                <w:sz w:val="24"/>
                <w:szCs w:val="22"/>
                <w:lang w:eastAsia="en-US"/>
                <w14:ligatures w14:val="none"/>
              </w:rPr>
              <w:t>经开</w:t>
            </w:r>
          </w:p>
        </w:tc>
        <w:tc>
          <w:tcPr>
            <w:tcW w:w="733" w:type="dxa"/>
            <w:tcBorders>
              <w:top w:val="single" w:color="222222" w:sz="6" w:space="0"/>
              <w:left w:val="single" w:color="222222" w:sz="6" w:space="0"/>
              <w:bottom w:val="single" w:color="222222" w:sz="6" w:space="0"/>
              <w:right w:val="single" w:color="222222" w:sz="6" w:space="0"/>
            </w:tcBorders>
          </w:tcPr>
          <w:p w14:paraId="3B552568">
            <w:pPr>
              <w:widowControl/>
              <w:spacing w:after="0" w:line="288" w:lineRule="auto"/>
              <w:rPr>
                <w:rFonts w:ascii="宋体" w:hAnsi="宋体" w:eastAsia="宋体" w:cs="21"/>
                <w:kern w:val="0"/>
                <w:szCs w:val="22"/>
                <w14:ligatures w14:val="none"/>
              </w:rPr>
            </w:pPr>
            <w:r>
              <w:rPr>
                <w:rFonts w:hint="eastAsia" w:ascii="宋体" w:hAnsi="宋体" w:eastAsia="宋体" w:cs="21"/>
                <w:color w:val="000000"/>
                <w:kern w:val="0"/>
                <w:sz w:val="24"/>
                <w:szCs w:val="22"/>
                <w14:ligatures w14:val="none"/>
              </w:rPr>
              <w:t>7</w:t>
            </w:r>
          </w:p>
        </w:tc>
        <w:tc>
          <w:tcPr>
            <w:tcW w:w="1535" w:type="dxa"/>
            <w:tcBorders>
              <w:top w:val="single" w:color="222222" w:sz="6" w:space="0"/>
              <w:left w:val="single" w:color="222222" w:sz="6" w:space="0"/>
              <w:bottom w:val="single" w:color="222222" w:sz="6" w:space="0"/>
              <w:right w:val="single" w:color="222222" w:sz="6" w:space="0"/>
            </w:tcBorders>
          </w:tcPr>
          <w:p w14:paraId="42F569A2">
            <w:pPr>
              <w:widowControl/>
              <w:spacing w:after="0" w:line="288" w:lineRule="auto"/>
              <w:rPr>
                <w:rFonts w:ascii="宋体" w:hAnsi="宋体" w:eastAsia="宋体" w:cs="21"/>
                <w:kern w:val="0"/>
                <w:szCs w:val="22"/>
                <w14:ligatures w14:val="none"/>
              </w:rPr>
            </w:pPr>
            <w:r>
              <w:rPr>
                <w:rFonts w:hint="eastAsia" w:ascii="宋体" w:hAnsi="宋体" w:eastAsia="宋体" w:cs="21"/>
                <w:color w:val="000000"/>
                <w:kern w:val="0"/>
                <w:sz w:val="24"/>
                <w:szCs w:val="22"/>
                <w14:ligatures w14:val="none"/>
              </w:rPr>
              <w:t>3</w:t>
            </w:r>
          </w:p>
        </w:tc>
        <w:tc>
          <w:tcPr>
            <w:tcW w:w="1560" w:type="dxa"/>
            <w:tcBorders>
              <w:top w:val="single" w:color="222222" w:sz="6" w:space="0"/>
              <w:left w:val="single" w:color="222222" w:sz="6" w:space="0"/>
              <w:bottom w:val="single" w:color="222222" w:sz="6" w:space="0"/>
              <w:right w:val="single" w:color="222222" w:sz="6" w:space="0"/>
            </w:tcBorders>
          </w:tcPr>
          <w:p w14:paraId="63EEE8C1">
            <w:pPr>
              <w:widowControl/>
              <w:spacing w:after="0" w:line="288" w:lineRule="auto"/>
              <w:rPr>
                <w:rFonts w:ascii="宋体" w:hAnsi="宋体" w:eastAsia="宋体" w:cs="21"/>
                <w:kern w:val="0"/>
                <w:szCs w:val="22"/>
                <w:lang w:eastAsia="en-US"/>
                <w14:ligatures w14:val="none"/>
              </w:rPr>
            </w:pPr>
            <w:r>
              <w:rPr>
                <w:rFonts w:hint="eastAsia" w:ascii="宋体" w:hAnsi="宋体" w:eastAsia="宋体" w:cs="21"/>
                <w:color w:val="000000"/>
                <w:kern w:val="0"/>
                <w:sz w:val="24"/>
                <w:szCs w:val="22"/>
                <w:lang w:eastAsia="en-US"/>
                <w14:ligatures w14:val="none"/>
              </w:rPr>
              <w:t>1</w:t>
            </w:r>
          </w:p>
        </w:tc>
        <w:tc>
          <w:tcPr>
            <w:tcW w:w="1559" w:type="dxa"/>
            <w:tcBorders>
              <w:top w:val="single" w:color="222222" w:sz="6" w:space="0"/>
              <w:left w:val="single" w:color="222222" w:sz="6" w:space="0"/>
              <w:bottom w:val="single" w:color="222222" w:sz="6" w:space="0"/>
              <w:right w:val="single" w:color="222222" w:sz="6" w:space="0"/>
            </w:tcBorders>
          </w:tcPr>
          <w:p w14:paraId="05B45C01">
            <w:pPr>
              <w:widowControl/>
              <w:spacing w:after="0" w:line="288" w:lineRule="auto"/>
              <w:rPr>
                <w:rFonts w:ascii="宋体" w:hAnsi="宋体" w:eastAsia="宋体" w:cs="21"/>
                <w:kern w:val="0"/>
                <w:szCs w:val="22"/>
                <w14:ligatures w14:val="none"/>
              </w:rPr>
            </w:pPr>
            <w:r>
              <w:rPr>
                <w:rFonts w:hint="eastAsia" w:ascii="宋体" w:hAnsi="宋体" w:eastAsia="宋体" w:cs="21"/>
                <w:color w:val="000000"/>
                <w:kern w:val="0"/>
                <w:sz w:val="24"/>
                <w:szCs w:val="22"/>
                <w14:ligatures w14:val="none"/>
              </w:rPr>
              <w:t>1</w:t>
            </w:r>
          </w:p>
        </w:tc>
        <w:tc>
          <w:tcPr>
            <w:tcW w:w="1559" w:type="dxa"/>
            <w:tcBorders>
              <w:top w:val="single" w:color="222222" w:sz="6" w:space="0"/>
              <w:left w:val="single" w:color="222222" w:sz="6" w:space="0"/>
              <w:bottom w:val="single" w:color="222222" w:sz="6" w:space="0"/>
              <w:right w:val="single" w:color="222222" w:sz="6" w:space="0"/>
            </w:tcBorders>
          </w:tcPr>
          <w:p w14:paraId="75C3E30F">
            <w:pPr>
              <w:widowControl/>
              <w:spacing w:after="0" w:line="288" w:lineRule="auto"/>
              <w:rPr>
                <w:rFonts w:ascii="宋体" w:hAnsi="宋体" w:eastAsia="宋体" w:cs="21"/>
                <w:kern w:val="0"/>
                <w:szCs w:val="22"/>
                <w:lang w:eastAsia="en-US"/>
                <w14:ligatures w14:val="none"/>
              </w:rPr>
            </w:pPr>
            <w:r>
              <w:rPr>
                <w:rFonts w:hint="eastAsia" w:ascii="宋体" w:hAnsi="宋体" w:eastAsia="宋体" w:cs="21"/>
                <w:color w:val="000000"/>
                <w:kern w:val="0"/>
                <w:sz w:val="24"/>
                <w:szCs w:val="22"/>
                <w:lang w:eastAsia="en-US"/>
                <w14:ligatures w14:val="none"/>
              </w:rPr>
              <w:t>1</w:t>
            </w:r>
          </w:p>
        </w:tc>
        <w:tc>
          <w:tcPr>
            <w:tcW w:w="1559" w:type="dxa"/>
            <w:tcBorders>
              <w:top w:val="single" w:color="222222" w:sz="6" w:space="0"/>
              <w:left w:val="single" w:color="222222" w:sz="6" w:space="0"/>
              <w:bottom w:val="single" w:color="222222" w:sz="6" w:space="0"/>
              <w:right w:val="single" w:color="222222" w:sz="6" w:space="0"/>
            </w:tcBorders>
          </w:tcPr>
          <w:p w14:paraId="64B07980">
            <w:pPr>
              <w:widowControl/>
              <w:spacing w:after="0" w:line="288" w:lineRule="auto"/>
              <w:rPr>
                <w:rFonts w:ascii="宋体" w:hAnsi="宋体" w:eastAsia="宋体" w:cs="21"/>
                <w:kern w:val="0"/>
                <w:szCs w:val="22"/>
                <w14:ligatures w14:val="none"/>
              </w:rPr>
            </w:pPr>
            <w:r>
              <w:rPr>
                <w:rFonts w:hint="eastAsia" w:ascii="宋体" w:hAnsi="宋体" w:eastAsia="宋体" w:cs="21"/>
                <w:color w:val="000000"/>
                <w:kern w:val="0"/>
                <w:sz w:val="24"/>
                <w:szCs w:val="22"/>
                <w14:ligatures w14:val="none"/>
              </w:rPr>
              <w:t>1</w:t>
            </w:r>
          </w:p>
        </w:tc>
      </w:tr>
      <w:tr w14:paraId="6AEF70CB">
        <w:tblPrEx>
          <w:tblCellMar>
            <w:top w:w="0" w:type="dxa"/>
            <w:left w:w="108" w:type="dxa"/>
            <w:bottom w:w="0" w:type="dxa"/>
            <w:right w:w="108" w:type="dxa"/>
          </w:tblCellMar>
        </w:tblPrEx>
        <w:tc>
          <w:tcPr>
            <w:tcW w:w="709" w:type="dxa"/>
            <w:tcBorders>
              <w:top w:val="single" w:color="222222" w:sz="6" w:space="0"/>
              <w:left w:val="single" w:color="222222" w:sz="6" w:space="0"/>
              <w:bottom w:val="single" w:color="222222" w:sz="6" w:space="0"/>
              <w:right w:val="single" w:color="222222" w:sz="6" w:space="0"/>
            </w:tcBorders>
          </w:tcPr>
          <w:p w14:paraId="3C04A13B">
            <w:pPr>
              <w:widowControl/>
              <w:spacing w:after="0" w:line="288" w:lineRule="auto"/>
              <w:rPr>
                <w:rFonts w:ascii="宋体" w:hAnsi="宋体" w:eastAsia="宋体" w:cs="21"/>
                <w:kern w:val="0"/>
                <w:szCs w:val="22"/>
                <w:lang w:eastAsia="en-US"/>
                <w14:ligatures w14:val="none"/>
              </w:rPr>
            </w:pPr>
            <w:r>
              <w:rPr>
                <w:rFonts w:hint="eastAsia" w:ascii="宋体" w:hAnsi="宋体" w:eastAsia="宋体" w:cs="21"/>
                <w:color w:val="000000"/>
                <w:kern w:val="0"/>
                <w:sz w:val="24"/>
                <w:szCs w:val="22"/>
                <w:lang w:eastAsia="en-US"/>
                <w14:ligatures w14:val="none"/>
              </w:rPr>
              <w:t>局属</w:t>
            </w:r>
          </w:p>
        </w:tc>
        <w:tc>
          <w:tcPr>
            <w:tcW w:w="733" w:type="dxa"/>
            <w:tcBorders>
              <w:top w:val="single" w:color="222222" w:sz="6" w:space="0"/>
              <w:left w:val="single" w:color="222222" w:sz="6" w:space="0"/>
              <w:bottom w:val="single" w:color="222222" w:sz="6" w:space="0"/>
              <w:right w:val="single" w:color="222222" w:sz="6" w:space="0"/>
            </w:tcBorders>
          </w:tcPr>
          <w:p w14:paraId="1F6F90A3">
            <w:pPr>
              <w:widowControl/>
              <w:spacing w:after="0" w:line="288" w:lineRule="auto"/>
              <w:rPr>
                <w:rFonts w:ascii="宋体" w:hAnsi="宋体" w:eastAsia="宋体" w:cs="21"/>
                <w:kern w:val="0"/>
                <w:szCs w:val="22"/>
                <w14:ligatures w14:val="none"/>
              </w:rPr>
            </w:pPr>
            <w:r>
              <w:rPr>
                <w:rFonts w:hint="eastAsia" w:ascii="宋体" w:hAnsi="宋体" w:eastAsia="宋体" w:cs="21"/>
                <w:color w:val="000000"/>
                <w:kern w:val="0"/>
                <w:sz w:val="24"/>
                <w:szCs w:val="22"/>
                <w14:ligatures w14:val="none"/>
              </w:rPr>
              <w:t>10</w:t>
            </w:r>
          </w:p>
        </w:tc>
        <w:tc>
          <w:tcPr>
            <w:tcW w:w="1535" w:type="dxa"/>
            <w:tcBorders>
              <w:top w:val="single" w:color="222222" w:sz="6" w:space="0"/>
              <w:left w:val="single" w:color="222222" w:sz="6" w:space="0"/>
              <w:bottom w:val="single" w:color="222222" w:sz="6" w:space="0"/>
              <w:right w:val="single" w:color="222222" w:sz="6" w:space="0"/>
            </w:tcBorders>
          </w:tcPr>
          <w:p w14:paraId="276C127A">
            <w:pPr>
              <w:widowControl/>
              <w:spacing w:after="0" w:line="288" w:lineRule="auto"/>
              <w:rPr>
                <w:rFonts w:ascii="宋体" w:hAnsi="宋体" w:eastAsia="宋体" w:cs="21"/>
                <w:kern w:val="0"/>
                <w:szCs w:val="22"/>
                <w14:ligatures w14:val="none"/>
              </w:rPr>
            </w:pPr>
            <w:r>
              <w:rPr>
                <w:rFonts w:hint="eastAsia" w:ascii="宋体" w:hAnsi="宋体" w:eastAsia="宋体" w:cs="21"/>
                <w:color w:val="000000"/>
                <w:kern w:val="0"/>
                <w:sz w:val="24"/>
                <w:szCs w:val="22"/>
                <w14:ligatures w14:val="none"/>
              </w:rPr>
              <w:t>5</w:t>
            </w:r>
          </w:p>
        </w:tc>
        <w:tc>
          <w:tcPr>
            <w:tcW w:w="1560" w:type="dxa"/>
            <w:tcBorders>
              <w:top w:val="single" w:color="222222" w:sz="6" w:space="0"/>
              <w:left w:val="single" w:color="222222" w:sz="6" w:space="0"/>
              <w:bottom w:val="single" w:color="222222" w:sz="6" w:space="0"/>
              <w:right w:val="single" w:color="222222" w:sz="6" w:space="0"/>
            </w:tcBorders>
          </w:tcPr>
          <w:p w14:paraId="59EE42A1">
            <w:pPr>
              <w:widowControl/>
              <w:spacing w:after="0" w:line="288" w:lineRule="auto"/>
              <w:rPr>
                <w:rFonts w:ascii="宋体" w:hAnsi="宋体" w:eastAsia="宋体" w:cs="21"/>
                <w:kern w:val="0"/>
                <w:szCs w:val="22"/>
                <w14:ligatures w14:val="none"/>
              </w:rPr>
            </w:pPr>
            <w:r>
              <w:rPr>
                <w:rFonts w:hint="eastAsia" w:ascii="宋体" w:hAnsi="宋体" w:eastAsia="宋体" w:cs="21"/>
                <w:color w:val="000000"/>
                <w:kern w:val="0"/>
                <w:sz w:val="24"/>
                <w:szCs w:val="22"/>
                <w14:ligatures w14:val="none"/>
              </w:rPr>
              <w:t>2</w:t>
            </w:r>
          </w:p>
        </w:tc>
        <w:tc>
          <w:tcPr>
            <w:tcW w:w="1559" w:type="dxa"/>
            <w:tcBorders>
              <w:top w:val="single" w:color="222222" w:sz="6" w:space="0"/>
              <w:left w:val="single" w:color="222222" w:sz="6" w:space="0"/>
              <w:bottom w:val="single" w:color="222222" w:sz="6" w:space="0"/>
              <w:right w:val="single" w:color="222222" w:sz="6" w:space="0"/>
            </w:tcBorders>
          </w:tcPr>
          <w:p w14:paraId="28F0EE71">
            <w:pPr>
              <w:widowControl/>
              <w:spacing w:after="0" w:line="288" w:lineRule="auto"/>
              <w:rPr>
                <w:rFonts w:ascii="宋体" w:hAnsi="宋体" w:eastAsia="宋体" w:cs="21"/>
                <w:kern w:val="0"/>
                <w:szCs w:val="22"/>
                <w14:ligatures w14:val="none"/>
              </w:rPr>
            </w:pPr>
            <w:r>
              <w:rPr>
                <w:rFonts w:hint="eastAsia" w:ascii="宋体" w:hAnsi="宋体" w:eastAsia="宋体" w:cs="21"/>
                <w:color w:val="000000"/>
                <w:kern w:val="0"/>
                <w:sz w:val="24"/>
                <w:szCs w:val="22"/>
                <w14:ligatures w14:val="none"/>
              </w:rPr>
              <w:t>1</w:t>
            </w:r>
          </w:p>
        </w:tc>
        <w:tc>
          <w:tcPr>
            <w:tcW w:w="1559" w:type="dxa"/>
            <w:tcBorders>
              <w:top w:val="single" w:color="222222" w:sz="6" w:space="0"/>
              <w:left w:val="single" w:color="222222" w:sz="6" w:space="0"/>
              <w:bottom w:val="single" w:color="222222" w:sz="6" w:space="0"/>
              <w:right w:val="single" w:color="222222" w:sz="6" w:space="0"/>
            </w:tcBorders>
          </w:tcPr>
          <w:p w14:paraId="43076495">
            <w:pPr>
              <w:widowControl/>
              <w:spacing w:after="0" w:line="288" w:lineRule="auto"/>
              <w:rPr>
                <w:rFonts w:ascii="宋体" w:hAnsi="宋体" w:eastAsia="宋体" w:cs="21"/>
                <w:kern w:val="0"/>
                <w:szCs w:val="22"/>
                <w14:ligatures w14:val="none"/>
              </w:rPr>
            </w:pPr>
            <w:r>
              <w:rPr>
                <w:rFonts w:hint="eastAsia" w:ascii="宋体" w:hAnsi="宋体" w:eastAsia="宋体" w:cs="21"/>
                <w:color w:val="000000"/>
                <w:kern w:val="0"/>
                <w:sz w:val="24"/>
                <w:szCs w:val="22"/>
                <w14:ligatures w14:val="none"/>
              </w:rPr>
              <w:t>1</w:t>
            </w:r>
          </w:p>
        </w:tc>
        <w:tc>
          <w:tcPr>
            <w:tcW w:w="1559" w:type="dxa"/>
            <w:tcBorders>
              <w:top w:val="single" w:color="222222" w:sz="6" w:space="0"/>
              <w:left w:val="single" w:color="222222" w:sz="6" w:space="0"/>
              <w:bottom w:val="single" w:color="222222" w:sz="6" w:space="0"/>
              <w:right w:val="single" w:color="222222" w:sz="6" w:space="0"/>
            </w:tcBorders>
          </w:tcPr>
          <w:p w14:paraId="0C349955">
            <w:pPr>
              <w:widowControl/>
              <w:spacing w:after="0" w:line="288" w:lineRule="auto"/>
              <w:rPr>
                <w:rFonts w:ascii="宋体" w:hAnsi="宋体" w:eastAsia="宋体" w:cs="21"/>
                <w:kern w:val="0"/>
                <w:szCs w:val="22"/>
                <w14:ligatures w14:val="none"/>
              </w:rPr>
            </w:pPr>
            <w:r>
              <w:rPr>
                <w:rFonts w:hint="eastAsia" w:ascii="宋体" w:hAnsi="宋体" w:eastAsia="宋体" w:cs="21"/>
                <w:color w:val="000000"/>
                <w:kern w:val="0"/>
                <w:sz w:val="24"/>
                <w:szCs w:val="22"/>
                <w14:ligatures w14:val="none"/>
              </w:rPr>
              <w:t>1</w:t>
            </w:r>
          </w:p>
        </w:tc>
      </w:tr>
      <w:tr w14:paraId="0C3C3CA7">
        <w:tblPrEx>
          <w:tblCellMar>
            <w:top w:w="0" w:type="dxa"/>
            <w:left w:w="108" w:type="dxa"/>
            <w:bottom w:w="0" w:type="dxa"/>
            <w:right w:w="108" w:type="dxa"/>
          </w:tblCellMar>
        </w:tblPrEx>
        <w:tc>
          <w:tcPr>
            <w:tcW w:w="709" w:type="dxa"/>
            <w:tcBorders>
              <w:top w:val="single" w:color="222222" w:sz="6" w:space="0"/>
              <w:left w:val="single" w:color="222222" w:sz="6" w:space="0"/>
              <w:bottom w:val="single" w:color="222222" w:sz="6" w:space="0"/>
              <w:right w:val="single" w:color="222222" w:sz="6" w:space="0"/>
            </w:tcBorders>
          </w:tcPr>
          <w:p w14:paraId="779762A1">
            <w:pPr>
              <w:widowControl/>
              <w:spacing w:after="0" w:line="288" w:lineRule="auto"/>
              <w:rPr>
                <w:rFonts w:ascii="宋体" w:hAnsi="宋体" w:eastAsia="宋体" w:cs="21"/>
                <w:kern w:val="0"/>
                <w:szCs w:val="22"/>
                <w:lang w:eastAsia="en-US"/>
                <w14:ligatures w14:val="none"/>
              </w:rPr>
            </w:pPr>
            <w:r>
              <w:rPr>
                <w:rFonts w:hint="eastAsia" w:ascii="宋体" w:hAnsi="宋体" w:eastAsia="宋体" w:cs="21"/>
                <w:color w:val="000000"/>
                <w:kern w:val="0"/>
                <w:sz w:val="24"/>
                <w:szCs w:val="22"/>
                <w:lang w:eastAsia="en-US"/>
                <w14:ligatures w14:val="none"/>
              </w:rPr>
              <w:t>总计</w:t>
            </w:r>
          </w:p>
        </w:tc>
        <w:tc>
          <w:tcPr>
            <w:tcW w:w="733" w:type="dxa"/>
            <w:tcBorders>
              <w:top w:val="single" w:color="222222" w:sz="6" w:space="0"/>
              <w:left w:val="single" w:color="222222" w:sz="6" w:space="0"/>
              <w:bottom w:val="single" w:color="222222" w:sz="6" w:space="0"/>
              <w:right w:val="single" w:color="222222" w:sz="6" w:space="0"/>
            </w:tcBorders>
          </w:tcPr>
          <w:p w14:paraId="61C96FEA">
            <w:pPr>
              <w:widowControl/>
              <w:spacing w:after="0" w:line="288" w:lineRule="auto"/>
              <w:rPr>
                <w:rFonts w:ascii="宋体" w:hAnsi="宋体" w:eastAsia="宋体" w:cs="21"/>
                <w:kern w:val="0"/>
                <w:szCs w:val="22"/>
                <w:lang w:eastAsia="en-US"/>
                <w14:ligatures w14:val="none"/>
              </w:rPr>
            </w:pPr>
            <w:r>
              <w:rPr>
                <w:rFonts w:hint="eastAsia" w:ascii="宋体" w:hAnsi="宋体" w:eastAsia="宋体" w:cs="21"/>
                <w:color w:val="000000"/>
                <w:kern w:val="0"/>
                <w:sz w:val="24"/>
                <w:szCs w:val="22"/>
                <w14:ligatures w14:val="none"/>
              </w:rPr>
              <w:t>70</w:t>
            </w:r>
          </w:p>
        </w:tc>
        <w:tc>
          <w:tcPr>
            <w:tcW w:w="1535" w:type="dxa"/>
            <w:tcBorders>
              <w:top w:val="single" w:color="222222" w:sz="6" w:space="0"/>
              <w:left w:val="single" w:color="222222" w:sz="6" w:space="0"/>
              <w:bottom w:val="single" w:color="222222" w:sz="6" w:space="0"/>
              <w:right w:val="single" w:color="222222" w:sz="6" w:space="0"/>
            </w:tcBorders>
          </w:tcPr>
          <w:p w14:paraId="1E1350ED">
            <w:pPr>
              <w:widowControl/>
              <w:spacing w:after="0" w:line="288" w:lineRule="auto"/>
              <w:rPr>
                <w:rFonts w:ascii="宋体" w:hAnsi="宋体" w:eastAsia="宋体" w:cs="21"/>
                <w:kern w:val="0"/>
                <w:szCs w:val="22"/>
                <w14:ligatures w14:val="none"/>
              </w:rPr>
            </w:pPr>
            <w:r>
              <w:rPr>
                <w:rFonts w:hint="eastAsia" w:ascii="宋体" w:hAnsi="宋体" w:eastAsia="宋体" w:cs="21"/>
                <w:color w:val="000000"/>
                <w:kern w:val="0"/>
                <w:sz w:val="24"/>
                <w:szCs w:val="22"/>
                <w14:ligatures w14:val="none"/>
              </w:rPr>
              <w:t>31</w:t>
            </w:r>
          </w:p>
        </w:tc>
        <w:tc>
          <w:tcPr>
            <w:tcW w:w="1560" w:type="dxa"/>
            <w:tcBorders>
              <w:top w:val="single" w:color="222222" w:sz="6" w:space="0"/>
              <w:left w:val="single" w:color="222222" w:sz="6" w:space="0"/>
              <w:bottom w:val="single" w:color="222222" w:sz="6" w:space="0"/>
              <w:right w:val="single" w:color="222222" w:sz="6" w:space="0"/>
            </w:tcBorders>
          </w:tcPr>
          <w:p w14:paraId="0C42D126">
            <w:pPr>
              <w:widowControl/>
              <w:spacing w:after="0" w:line="288" w:lineRule="auto"/>
              <w:rPr>
                <w:rFonts w:ascii="宋体" w:hAnsi="宋体" w:eastAsia="宋体" w:cs="21"/>
                <w:kern w:val="0"/>
                <w:szCs w:val="22"/>
                <w14:ligatures w14:val="none"/>
              </w:rPr>
            </w:pPr>
            <w:r>
              <w:rPr>
                <w:rFonts w:hint="eastAsia" w:ascii="宋体" w:hAnsi="宋体" w:eastAsia="宋体" w:cs="21"/>
                <w:color w:val="000000"/>
                <w:kern w:val="0"/>
                <w:sz w:val="24"/>
                <w:szCs w:val="22"/>
                <w14:ligatures w14:val="none"/>
              </w:rPr>
              <w:t>15</w:t>
            </w:r>
          </w:p>
        </w:tc>
        <w:tc>
          <w:tcPr>
            <w:tcW w:w="1559" w:type="dxa"/>
            <w:tcBorders>
              <w:top w:val="single" w:color="222222" w:sz="6" w:space="0"/>
              <w:left w:val="single" w:color="222222" w:sz="6" w:space="0"/>
              <w:bottom w:val="single" w:color="222222" w:sz="6" w:space="0"/>
              <w:right w:val="single" w:color="222222" w:sz="6" w:space="0"/>
            </w:tcBorders>
          </w:tcPr>
          <w:p w14:paraId="6A5FF123">
            <w:pPr>
              <w:widowControl/>
              <w:spacing w:after="0" w:line="288" w:lineRule="auto"/>
              <w:rPr>
                <w:rFonts w:ascii="宋体" w:hAnsi="宋体" w:eastAsia="宋体" w:cs="21"/>
                <w:kern w:val="0"/>
                <w:szCs w:val="22"/>
                <w14:ligatures w14:val="none"/>
              </w:rPr>
            </w:pPr>
            <w:r>
              <w:rPr>
                <w:rFonts w:hint="eastAsia" w:ascii="宋体" w:hAnsi="宋体" w:eastAsia="宋体" w:cs="21"/>
                <w:color w:val="000000"/>
                <w:kern w:val="0"/>
                <w:sz w:val="24"/>
                <w:szCs w:val="22"/>
                <w14:ligatures w14:val="none"/>
              </w:rPr>
              <w:t>8</w:t>
            </w:r>
          </w:p>
        </w:tc>
        <w:tc>
          <w:tcPr>
            <w:tcW w:w="1559" w:type="dxa"/>
            <w:tcBorders>
              <w:top w:val="single" w:color="222222" w:sz="6" w:space="0"/>
              <w:left w:val="single" w:color="222222" w:sz="6" w:space="0"/>
              <w:bottom w:val="single" w:color="222222" w:sz="6" w:space="0"/>
              <w:right w:val="single" w:color="222222" w:sz="6" w:space="0"/>
            </w:tcBorders>
          </w:tcPr>
          <w:p w14:paraId="405F279A">
            <w:pPr>
              <w:widowControl/>
              <w:spacing w:after="0" w:line="288" w:lineRule="auto"/>
              <w:rPr>
                <w:rFonts w:ascii="宋体" w:hAnsi="宋体" w:eastAsia="宋体" w:cs="21"/>
                <w:kern w:val="0"/>
                <w:szCs w:val="22"/>
                <w14:ligatures w14:val="none"/>
              </w:rPr>
            </w:pPr>
            <w:r>
              <w:rPr>
                <w:rFonts w:hint="eastAsia" w:ascii="宋体" w:hAnsi="宋体" w:eastAsia="宋体" w:cs="21"/>
                <w:color w:val="000000"/>
                <w:kern w:val="0"/>
                <w:sz w:val="24"/>
                <w:szCs w:val="22"/>
                <w14:ligatures w14:val="none"/>
              </w:rPr>
              <w:t>8</w:t>
            </w:r>
          </w:p>
        </w:tc>
        <w:tc>
          <w:tcPr>
            <w:tcW w:w="1559" w:type="dxa"/>
            <w:tcBorders>
              <w:top w:val="single" w:color="222222" w:sz="6" w:space="0"/>
              <w:left w:val="single" w:color="222222" w:sz="6" w:space="0"/>
              <w:bottom w:val="single" w:color="222222" w:sz="6" w:space="0"/>
              <w:right w:val="single" w:color="222222" w:sz="6" w:space="0"/>
            </w:tcBorders>
          </w:tcPr>
          <w:p w14:paraId="4DD66C55">
            <w:pPr>
              <w:widowControl/>
              <w:spacing w:after="0" w:line="288" w:lineRule="auto"/>
              <w:rPr>
                <w:rFonts w:ascii="宋体" w:hAnsi="宋体" w:eastAsia="宋体" w:cs="21"/>
                <w:kern w:val="0"/>
                <w:szCs w:val="22"/>
                <w14:ligatures w14:val="none"/>
              </w:rPr>
            </w:pPr>
            <w:r>
              <w:rPr>
                <w:rFonts w:hint="eastAsia" w:ascii="宋体" w:hAnsi="宋体" w:eastAsia="宋体" w:cs="21"/>
                <w:color w:val="000000"/>
                <w:kern w:val="0"/>
                <w:sz w:val="24"/>
                <w:szCs w:val="22"/>
                <w14:ligatures w14:val="none"/>
              </w:rPr>
              <w:t>8</w:t>
            </w:r>
          </w:p>
        </w:tc>
      </w:tr>
    </w:tbl>
    <w:p w14:paraId="65B41E74">
      <w:pPr>
        <w:widowControl/>
        <w:spacing w:after="0" w:line="360" w:lineRule="exact"/>
        <w:ind w:firstLine="480" w:firstLineChars="200"/>
        <w:rPr>
          <w:rFonts w:ascii="Calibri" w:hAnsi="Calibri" w:eastAsia="等线" w:cs="21"/>
          <w:kern w:val="0"/>
          <w:szCs w:val="22"/>
          <w14:ligatures w14:val="none"/>
        </w:rPr>
      </w:pPr>
      <w:r>
        <w:rPr>
          <w:rFonts w:hint="eastAsia" w:ascii="微软雅黑" w:hAnsi="微软雅黑" w:eastAsia="微软雅黑" w:cs="21"/>
          <w:color w:val="000000"/>
          <w:kern w:val="0"/>
          <w:sz w:val="24"/>
          <w:szCs w:val="22"/>
          <w14:ligatures w14:val="none"/>
        </w:rPr>
        <w:t>说明：1、各辖市区五个任务类型可在不突破分配名额总数的基础上进行适当的重新分配。2、各辖市区申报时原则上每个任务类型至少申报1所学校。3、除教育局直属学校外，各辖市区推荐名额需兼顾小学和初中。</w:t>
      </w:r>
    </w:p>
    <w:p w14:paraId="79C6936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21">
    <w:altName w:val="Segoe Print"/>
    <w:panose1 w:val="00000000000000000000"/>
    <w:charset w:val="00"/>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D94BE5"/>
    <w:rsid w:val="359D00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2928</Words>
  <Characters>2997</Characters>
  <Lines>0</Lines>
  <Paragraphs>0</Paragraphs>
  <TotalTime>1</TotalTime>
  <ScaleCrop>false</ScaleCrop>
  <LinksUpToDate>false</LinksUpToDate>
  <CharactersWithSpaces>3070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2025-11-13T00:38:00Z</dcterms:created>
  <dc:creator>翟 浩</dc:creator>
  <cp:lastModifiedBy>ZHH</cp:lastModifiedBy>
  <dcterms:modified xsi:type="dcterms:W3CDTF">2025-11-13T01:22:04Z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eyJoZGlkIjoiMTMzYjA0YTUxZGMyZDAxNTcxMWU4Y2FiN2M3NzY5MzYiLCJ1c2VySWQiOiIyMzQyNzQ5ODcifQ==</vt:lpwstr>
  </property>
  <property fmtid="{D5CDD505-2E9C-101B-9397-08002B2CF9AE}" pid="4" name="ICV">
    <vt:lpwstr>422B488C86D24FC78CE2B2A7FE700BE3_12</vt:lpwstr>
  </property>
</Properties>
</file>