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pPr>
        <w:pStyle w:val="48"/>
        <w:widowControl w:val="0"/>
        <w:rPr>
          <w:rFonts w:cs="Times New Roman"/>
        </w:rPr>
      </w:pPr>
    </w:p>
    <w:p>
      <w:pPr>
        <w:pStyle w:val="48"/>
        <w:widowControl w:val="0"/>
        <w:spacing w:line="288" w:lineRule="auto"/>
        <w:rPr>
          <w:rFonts w:hint="eastAsia" w:eastAsia="方正小标宋_GBK" w:cs="Times New Roman"/>
          <w:sz w:val="48"/>
          <w:szCs w:val="21"/>
          <w:lang w:eastAsia="zh-CN"/>
        </w:rPr>
      </w:pPr>
      <w:r>
        <w:rPr>
          <w:rFonts w:hint="eastAsia" w:cs="Times New Roman"/>
          <w:sz w:val="48"/>
          <w:szCs w:val="21"/>
          <w:lang w:eastAsia="zh-CN"/>
        </w:rPr>
        <w:t>江苏省中小学阳光食堂信息化监管</w:t>
      </w:r>
    </w:p>
    <w:p>
      <w:pPr>
        <w:pStyle w:val="48"/>
        <w:widowControl w:val="0"/>
        <w:spacing w:line="288" w:lineRule="auto"/>
        <w:rPr>
          <w:rFonts w:cs="Times New Roman"/>
          <w:sz w:val="48"/>
          <w:szCs w:val="21"/>
        </w:rPr>
      </w:pPr>
      <w:r>
        <w:rPr>
          <w:rFonts w:hint="eastAsia" w:cs="Times New Roman"/>
          <w:sz w:val="48"/>
          <w:szCs w:val="21"/>
        </w:rPr>
        <w:t>服务平台业务指引</w:t>
      </w:r>
    </w:p>
    <w:p>
      <w:pPr>
        <w:pStyle w:val="48"/>
        <w:widowControl w:val="0"/>
        <w:spacing w:line="288" w:lineRule="auto"/>
        <w:rPr>
          <w:rFonts w:cs="Times New Roman"/>
        </w:rPr>
      </w:pPr>
      <w:r>
        <w:rPr>
          <w:rFonts w:hint="eastAsia" w:cs="Times New Roman"/>
          <w:sz w:val="48"/>
          <w:szCs w:val="21"/>
        </w:rPr>
        <w:t>（修订版）</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pStyle w:val="34"/>
        <w:spacing w:before="219" w:after="219" w:afterLines="50"/>
        <w:rPr>
          <w:rFonts w:hint="default"/>
          <w:b/>
          <w:bCs/>
        </w:rPr>
      </w:pPr>
      <w:r>
        <w:rPr>
          <w:rFonts w:hint="eastAsia"/>
          <w:b/>
          <w:bCs/>
          <w:highlight w:val="none"/>
        </w:rPr>
        <w:t>巩固校园餐整治成果工作组</w:t>
      </w:r>
      <w:r>
        <w:rPr>
          <w:rFonts w:hint="default"/>
          <w:b/>
          <w:bCs/>
        </w:rPr>
        <w:t xml:space="preserve"> </w:t>
      </w:r>
      <w:r>
        <w:rPr>
          <w:b/>
          <w:bCs/>
        </w:rPr>
        <w:t>编印</w:t>
      </w:r>
    </w:p>
    <w:p>
      <w:pPr>
        <w:pStyle w:val="34"/>
        <w:spacing w:before="219" w:after="219" w:afterLines="50"/>
        <w:rPr>
          <w:rFonts w:hint="default"/>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984" w:left="1587" w:header="851" w:footer="1417" w:gutter="0"/>
          <w:cols w:space="0" w:num="1"/>
          <w:docGrid w:type="lines" w:linePitch="439" w:charSpace="0"/>
        </w:sectPr>
      </w:pPr>
      <w:r>
        <w:rPr>
          <w:b/>
          <w:bCs/>
        </w:rPr>
        <w:t>2026年</w:t>
      </w:r>
      <w:r>
        <w:rPr>
          <w:rFonts w:hint="eastAsia"/>
          <w:b/>
          <w:bCs/>
          <w:lang w:val="en-US" w:eastAsia="zh-CN"/>
        </w:rPr>
        <w:t>5</w:t>
      </w:r>
      <w:r>
        <w:rPr>
          <w:b/>
          <w:bCs/>
        </w:rPr>
        <w:t>月</w:t>
      </w:r>
    </w:p>
    <w:p/>
    <w:p>
      <w:pPr>
        <w:pStyle w:val="48"/>
        <w:widowControl w:val="0"/>
        <w:rPr>
          <w:rFonts w:hint="eastAsia" w:eastAsia="方正小标宋_GBK" w:cs="Times New Roman"/>
          <w:lang w:eastAsia="zh-CN"/>
        </w:rPr>
      </w:pPr>
      <w:r>
        <w:rPr>
          <w:rFonts w:hint="eastAsia" w:cs="Times New Roman"/>
          <w:lang w:eastAsia="zh-CN"/>
        </w:rPr>
        <w:t>江苏省中小学阳光食堂信息化监管</w:t>
      </w:r>
    </w:p>
    <w:p>
      <w:pPr>
        <w:pStyle w:val="48"/>
        <w:widowControl w:val="0"/>
        <w:rPr>
          <w:rFonts w:eastAsia="楷体_GB2312" w:cs="Times New Roman"/>
        </w:rPr>
      </w:pPr>
      <w:r>
        <w:rPr>
          <w:rFonts w:hint="eastAsia" w:cs="Times New Roman"/>
        </w:rPr>
        <w:t>服务平台业务指引（试行）</w:t>
      </w:r>
    </w:p>
    <w:p>
      <w:pPr>
        <w:pStyle w:val="2"/>
        <w:spacing w:before="658" w:beforeLines="150" w:after="439" w:afterLines="100" w:line="240" w:lineRule="auto"/>
        <w:ind w:firstLine="0" w:firstLineChars="0"/>
        <w:jc w:val="center"/>
      </w:pPr>
      <w:r>
        <w:rPr>
          <w:rFonts w:hint="eastAsia"/>
        </w:rPr>
        <w:t>第一章</w:t>
      </w:r>
      <w:r>
        <w:t xml:space="preserve">  </w:t>
      </w:r>
      <w:r>
        <w:rPr>
          <w:rFonts w:hint="eastAsia"/>
        </w:rPr>
        <w:t>总则</w:t>
      </w:r>
    </w:p>
    <w:p>
      <w:pPr>
        <w:ind w:firstLine="640"/>
      </w:pPr>
      <w:r>
        <w:rPr>
          <w:rStyle w:val="54"/>
          <w:rFonts w:hint="eastAsia"/>
        </w:rPr>
        <w:t>第一条</w:t>
      </w:r>
      <w:r>
        <w:rPr>
          <w:rFonts w:hint="eastAsia"/>
        </w:rPr>
        <w:t xml:space="preserve">  为加强全省学校食堂运营管理，结合</w:t>
      </w:r>
      <w:r>
        <w:rPr>
          <w:rFonts w:hint="eastAsia"/>
          <w:lang w:eastAsia="zh-CN"/>
        </w:rPr>
        <w:t>江苏省中小学阳光食堂信息化监管</w:t>
      </w:r>
      <w:r>
        <w:rPr>
          <w:rFonts w:hint="eastAsia"/>
        </w:rPr>
        <w:t>服务平台（以下简称“阳光食堂”平台）功能完善</w:t>
      </w:r>
      <w:r>
        <w:rPr>
          <w:rFonts w:hint="eastAsia"/>
          <w:lang w:val="en-US" w:eastAsia="zh-CN"/>
        </w:rPr>
        <w:t>等实际情况</w:t>
      </w:r>
      <w:r>
        <w:rPr>
          <w:rFonts w:hint="eastAsia"/>
        </w:rPr>
        <w:t>，特修订本业务指引。</w:t>
      </w:r>
    </w:p>
    <w:p>
      <w:pPr>
        <w:ind w:firstLine="640"/>
      </w:pPr>
      <w:r>
        <w:rPr>
          <w:rStyle w:val="54"/>
          <w:rFonts w:hint="eastAsia"/>
        </w:rPr>
        <w:t>第二条</w:t>
      </w:r>
      <w:r>
        <w:rPr>
          <w:rFonts w:hint="eastAsia"/>
        </w:rPr>
        <w:t xml:space="preserve">  本指引适用于全省公办和民办的幼儿园、义务教育学校、高中阶段学校、特殊教育学校食堂及校外供餐管理。</w:t>
      </w:r>
    </w:p>
    <w:p>
      <w:pPr>
        <w:ind w:firstLine="640"/>
      </w:pPr>
      <w:r>
        <w:rPr>
          <w:rStyle w:val="54"/>
          <w:rFonts w:hint="eastAsia"/>
        </w:rPr>
        <w:t>第三条</w:t>
      </w:r>
      <w:r>
        <w:rPr>
          <w:rFonts w:hint="eastAsia"/>
        </w:rPr>
        <w:t xml:space="preserve">  “阳光食堂”平台实行分级管理，遵循</w:t>
      </w:r>
      <w:r>
        <w:t>“</w:t>
      </w:r>
      <w:r>
        <w:rPr>
          <w:rFonts w:hint="eastAsia"/>
        </w:rPr>
        <w:t>统一要求、因地制宜、突出重点、结果导向</w:t>
      </w:r>
      <w:r>
        <w:t>”</w:t>
      </w:r>
      <w:r>
        <w:rPr>
          <w:rFonts w:hint="eastAsia"/>
        </w:rPr>
        <w:t>原则，实现学校食堂运营全流程和校外供餐质量信息化监管。</w:t>
      </w:r>
    </w:p>
    <w:p>
      <w:pPr>
        <w:ind w:firstLine="640"/>
      </w:pPr>
      <w:r>
        <w:rPr>
          <w:rStyle w:val="54"/>
          <w:rFonts w:hint="eastAsia"/>
        </w:rPr>
        <w:t>第四条</w:t>
      </w:r>
      <w:r>
        <w:t xml:space="preserve">  </w:t>
      </w:r>
      <w:r>
        <w:rPr>
          <w:rFonts w:hint="eastAsia"/>
        </w:rPr>
        <w:t>“阳光食堂”平台以各级主管部门和学校职责、关键流程闭环监管、家长参与食堂管理等核心要素，形成综合监管体系，指导和督促线下工作实现规范管理。</w:t>
      </w:r>
    </w:p>
    <w:p>
      <w:pPr>
        <w:pStyle w:val="2"/>
        <w:spacing w:before="658" w:beforeLines="150" w:after="439" w:afterLines="100" w:line="240" w:lineRule="auto"/>
        <w:ind w:firstLine="0" w:firstLineChars="0"/>
        <w:jc w:val="center"/>
      </w:pPr>
      <w:r>
        <w:rPr>
          <w:rFonts w:hint="eastAsia"/>
        </w:rPr>
        <w:t>第二章  平台监管职责分工</w:t>
      </w:r>
    </w:p>
    <w:p>
      <w:pPr>
        <w:ind w:firstLine="640"/>
      </w:pPr>
      <w:r>
        <w:rPr>
          <w:rStyle w:val="54"/>
          <w:rFonts w:hint="eastAsia"/>
        </w:rPr>
        <w:t>第五条</w:t>
      </w:r>
      <w:r>
        <w:t xml:space="preserve">  </w:t>
      </w:r>
      <w:r>
        <w:rPr>
          <w:rFonts w:hint="eastAsia"/>
        </w:rPr>
        <w:t>省、市、县、校四级联动开展学校食堂及校外供餐监管工作。省教育厅统一指导和部署“阳光食堂”平台监管工作，牵头研制和更新平台监管功能，负责业务指导、督促检查和通报整改。省发展改革、教育、公安、财政、农业农村、卫生健康、市场监管等部门依法依职监管学校食堂及校外供餐工作。师生及家长参与监督并进行满意度评价。</w:t>
      </w:r>
    </w:p>
    <w:p>
      <w:pPr>
        <w:ind w:firstLine="640"/>
      </w:pPr>
      <w:r>
        <w:rPr>
          <w:rStyle w:val="54"/>
          <w:rFonts w:hint="eastAsia"/>
        </w:rPr>
        <w:t>第六条</w:t>
      </w:r>
      <w:r>
        <w:t xml:space="preserve">  </w:t>
      </w:r>
      <w:r>
        <w:rPr>
          <w:rFonts w:hint="eastAsia"/>
        </w:rPr>
        <w:t>各设区市、县（市、区）发展改革、教育、公安、财政、农业农村、卫生健康、市场监管等部门明确学校食堂管理职责分工，指导学校食堂管理工作，会商处置重要事项，及时发现并解决问题。设区市、县（市、区）教育行政部门（以下统称“市县教育局”）要明确职能部门归口管理学校食堂和校外供餐工作，制定管理措施并定期开展检查，统筹落实学校“阳光食堂”平台监管工作，对平台数据进行综合分析，并将学校食堂管理纳入年度督导工作。</w:t>
      </w:r>
    </w:p>
    <w:p>
      <w:pPr>
        <w:ind w:firstLine="640"/>
      </w:pPr>
      <w:r>
        <w:rPr>
          <w:rStyle w:val="54"/>
          <w:rFonts w:hint="eastAsia"/>
        </w:rPr>
        <w:t>第七条</w:t>
      </w:r>
      <w:r>
        <w:t xml:space="preserve">  </w:t>
      </w:r>
      <w:r>
        <w:rPr>
          <w:rFonts w:hint="eastAsia"/>
        </w:rPr>
        <w:t>学校是食堂质量建设、安全管理、廉政风险防控的责任主体，学校党政主要负责同志是食堂管理第一责任人，要在压紧压实线下工作的基础上，充分用好“阳光食堂”平台，分工到人，明确职责，提高学校食堂运营质量和监管效率。学校要公开食堂运营信息，主动接受监督，认真听取意见与建议，及时受理投诉并按规定核实处理。</w:t>
      </w:r>
    </w:p>
    <w:p>
      <w:pPr>
        <w:ind w:firstLine="640"/>
      </w:pPr>
      <w:r>
        <w:rPr>
          <w:rStyle w:val="54"/>
          <w:rFonts w:hint="eastAsia"/>
        </w:rPr>
        <w:t>第八条</w:t>
      </w:r>
      <w:r>
        <w:t xml:space="preserve">  </w:t>
      </w:r>
      <w:r>
        <w:rPr>
          <w:rFonts w:hint="eastAsia"/>
        </w:rPr>
        <w:t>学校食堂负责人是食堂质量管理、安全生产和食品安全的直接责任人，要组织食堂人员认真落实各项监管要求，加强食堂日常管理和考核，提升食品质量和食堂服务水平，建立健全“阳光食堂”平台管理制度、开展食堂运营信息化监管工作，保证信息真实、完整。</w:t>
      </w:r>
    </w:p>
    <w:p>
      <w:pPr>
        <w:pStyle w:val="52"/>
        <w:spacing w:before="526" w:after="351"/>
        <w:rPr>
          <w:rFonts w:hint="default" w:eastAsia="仿宋_GB2312"/>
        </w:rPr>
      </w:pPr>
      <w:r>
        <w:t>第三章</w:t>
      </w:r>
      <w:r>
        <w:rPr>
          <w:rFonts w:hint="default"/>
        </w:rPr>
        <w:t xml:space="preserve">  </w:t>
      </w:r>
      <w:r>
        <w:t>食堂运营基础监管</w:t>
      </w:r>
    </w:p>
    <w:p>
      <w:pPr>
        <w:ind w:firstLine="640"/>
      </w:pPr>
      <w:r>
        <w:rPr>
          <w:rStyle w:val="54"/>
          <w:rFonts w:hint="eastAsia"/>
        </w:rPr>
        <w:t>第九条</w:t>
      </w:r>
      <w:r>
        <w:rPr>
          <w:rFonts w:hint="eastAsia"/>
        </w:rPr>
        <w:t xml:space="preserve">  基础设施建设监管。各地应因地制宜设置学校食堂，结合农村、城市不同地区和学校供餐实际，统筹运用新建和改扩建等方式加强食堂基础设施建设。</w:t>
      </w:r>
    </w:p>
    <w:p>
      <w:pPr>
        <w:ind w:firstLine="640"/>
        <w:rPr>
          <w:rFonts w:hint="eastAsia"/>
        </w:rPr>
      </w:pPr>
      <w:r>
        <w:rPr>
          <w:rFonts w:hint="eastAsia"/>
        </w:rPr>
        <w:t>（一）食堂规划建设监管。学校食堂的规划、选址、规模、布局、功能分区、工艺流程等应符合法律法规和《食品安全国家标准</w:t>
      </w:r>
      <w:r>
        <w:t xml:space="preserve"> </w:t>
      </w:r>
      <w:r>
        <w:rPr>
          <w:rFonts w:hint="eastAsia"/>
        </w:rPr>
        <w:t>餐饮服务通用卫生规范》《营养与健康学校建设指南》《餐饮服务食品安全操作规范》等相关标准规范。对不符合要求的墙壁和地面等建筑结构，应采取适当措施进行升级改造。应防止各种污染源的影响，须远离粉尘、有害气体、放射性物质及其他扩散性污染源，距离校园独立厕所、污水池、暴露垃圾场（堆）等污染源25米以上。</w:t>
      </w:r>
    </w:p>
    <w:p>
      <w:pPr>
        <w:ind w:firstLine="640"/>
      </w:pPr>
      <w:r>
        <w:rPr>
          <w:rFonts w:hint="eastAsia"/>
        </w:rPr>
        <w:t>（二）食堂设施设备监管。学校食堂应配置和更新与供餐规模相适应、满足食品安全需求的食品贮存、粗加工、切配、烹饪、备供餐、留样、清洗消毒、保洁，以及采光、照明、通风排烟、防腐防尘、防蝇防鼠防虫、更衣、盥洗以及处理废水、存放垃圾和废弃物的设施设备。食堂的不同区域应设置专用拖把池、餐用器具清洗专用水池，用餐场所应设置足够的自来水装置供就餐学生洗手。食堂用水应符合国家规定的生活饮用水卫生标准。学校应在食堂重点区域架设监控装置，实现“互联网+明厨亮灶”。</w:t>
      </w:r>
    </w:p>
    <w:p>
      <w:pPr>
        <w:ind w:firstLine="640"/>
        <w:rPr>
          <w:rFonts w:hint="eastAsia"/>
        </w:rPr>
      </w:pPr>
      <w:r>
        <w:rPr>
          <w:rStyle w:val="54"/>
          <w:rFonts w:hint="eastAsia"/>
        </w:rPr>
        <w:t>第十条</w:t>
      </w:r>
      <w:r>
        <w:rPr>
          <w:rFonts w:hint="eastAsia"/>
        </w:rPr>
        <w:t xml:space="preserve">  学校管理监管。学校应成立由学校领导、总务后勤负责人和食堂管理人员组成的学校食堂管理工作组，全面负责食堂管理，包括建立健全食堂内部控制、岗位责任、财务管理、运营监管、供货验收、安全生产、食品安全、人员健康、家长监督等管理制度，强化执行监督与考核评价，确保食堂食品安全、饭菜质量和价格控制。</w:t>
      </w:r>
    </w:p>
    <w:p>
      <w:pPr>
        <w:ind w:firstLine="640"/>
      </w:pPr>
      <w:r>
        <w:rPr>
          <w:rFonts w:hint="eastAsia"/>
        </w:rPr>
        <w:t>（一）食堂岗位责任制监管。学校食堂应建立健全岗位责任制，明确采购、加工、保管、会计、出纳、食品安全管理等岗位职责，相关岗位人员应定期轮换。</w:t>
      </w:r>
    </w:p>
    <w:p>
      <w:pPr>
        <w:ind w:firstLine="640"/>
        <w:rPr>
          <w:highlight w:val="yellow"/>
        </w:rPr>
      </w:pPr>
      <w:r>
        <w:rPr>
          <w:rFonts w:hint="eastAsia"/>
        </w:rPr>
        <w:t>（二）家长监督机制监管。学校应按照教育部办公厅《</w:t>
      </w:r>
      <w:r>
        <w:rPr>
          <w:rFonts w:hint="eastAsia"/>
          <w:lang w:val="en-US" w:eastAsia="zh-CN"/>
        </w:rPr>
        <w:t>中小学校</w:t>
      </w:r>
      <w:r>
        <w:rPr>
          <w:rFonts w:hint="eastAsia"/>
        </w:rPr>
        <w:t>园膳食监督家长委员会工作办法（试行）》，根据学校规模、供餐方式组建由家长志愿者代表组成的学校膳食监督（管理）家长委员会，成员一般不少于7人，原则上每个年级至少一名成员，重点监督招标采购、营养配餐、供货验收、食品安全、用餐陪餐、经费管理等工作。</w:t>
      </w:r>
    </w:p>
    <w:p>
      <w:pPr>
        <w:ind w:firstLine="640"/>
      </w:pPr>
      <w:r>
        <w:rPr>
          <w:rFonts w:hint="eastAsia"/>
        </w:rPr>
        <w:t>（三）伙食费标准监管。学</w:t>
      </w:r>
      <w:r>
        <w:rPr>
          <w:rFonts w:hint="eastAsia"/>
          <w:highlight w:val="none"/>
        </w:rPr>
        <w:t>校食堂和校外供餐伙食费标准有变化的，</w:t>
      </w:r>
      <w:r>
        <w:rPr>
          <w:rFonts w:hint="eastAsia"/>
        </w:rPr>
        <w:t>应遵循成本补偿和非营利原则，在广泛听取在校生及其家长意见后，综合考虑不同年龄学生的营养需要、当地物价水平、居民可支配收入等因素，经学校食堂管理工作组与膳食监督（管理）家长委员会集体研究制定，由学校党政主要负责人审签报教育部门备案，并实行价格公示制度。学校要结合学生就餐评价和家长意见积极探索运用，保证学生吃饱吃好。</w:t>
      </w:r>
    </w:p>
    <w:p>
      <w:pPr>
        <w:ind w:firstLine="640"/>
      </w:pPr>
      <w:r>
        <w:rPr>
          <w:rStyle w:val="54"/>
          <w:rFonts w:hint="eastAsia"/>
        </w:rPr>
        <w:t>第十一条</w:t>
      </w:r>
      <w:r>
        <w:rPr>
          <w:rFonts w:hint="eastAsia"/>
        </w:rPr>
        <w:t xml:space="preserve">  运营模式监管。根据食堂设施设备条件和经营管理能力，按规定采取学校自主经营（含学校运营、委托运营）、校外供餐方式向在校学生提供餐饮服务，应当坚持公益性和非营利性原则。学生在校用餐遵循自愿原则。</w:t>
      </w:r>
    </w:p>
    <w:p>
      <w:pPr>
        <w:ind w:firstLine="640"/>
      </w:pPr>
      <w:r>
        <w:rPr>
          <w:rFonts w:hint="eastAsia"/>
        </w:rPr>
        <w:t>（一）自营食堂（学校运营）监管。学校食堂原则上应由学校自营，实行统一管理、保本运营，不得对外承包、联营或托管。非学校自营的食堂，合同到期的，由学校收回管理；合同未到期、经营主体不具备相关资质的，立即予以整改，由学校收回管理；合同未到期、经营主体具备相关资质的，由教育部门建立整改台账，将其食材采购、食品安全、食品质量与价格等纳入统一监管，合同到期后由学校收回管理。</w:t>
      </w:r>
    </w:p>
    <w:p>
      <w:pPr>
        <w:ind w:firstLine="640"/>
      </w:pPr>
      <w:r>
        <w:rPr>
          <w:rFonts w:hint="eastAsia"/>
        </w:rPr>
        <w:t>（二）自营食堂（委托运营）监管。委托运营是自营食堂的一种特殊形式，即经教育部门审批同意后，由学校采取招标购买服务的方式，聘请有资质的经营主体提供食堂劳务和管理服务。委托运营学校食堂的餐饮服务单位须取得食品经营许可</w:t>
      </w:r>
      <w:r>
        <w:rPr>
          <w:rFonts w:hint="eastAsia"/>
          <w:lang w:eastAsia="zh-CN"/>
        </w:rPr>
        <w:t>、</w:t>
      </w:r>
      <w:r>
        <w:rPr>
          <w:rFonts w:hint="eastAsia"/>
        </w:rPr>
        <w:t>有良好社会信誉、具有食品安全管理能力。学校应与餐饮服务单位签订服务合同，明确评价和退出机制，餐饮服务单位应接受日常监管，不得有转包、分包等行为。</w:t>
      </w:r>
    </w:p>
    <w:p>
      <w:pPr>
        <w:ind w:firstLine="640"/>
        <w:rPr>
          <w:rStyle w:val="54"/>
        </w:rPr>
      </w:pPr>
      <w:r>
        <w:rPr>
          <w:rFonts w:hint="eastAsia"/>
        </w:rPr>
        <w:t>（三）校外供餐单位监管。未设立食堂的学校，经教育部门审批同意后统一组织招标工作，选定中标校外供餐单位，并向社会公布中标的校外供餐单位名单。中标的校外供餐单位须取得食品经营许可和集体用餐配送资质，社会信誉良好、能承担食品安全责任。校外供餐单位信息应报告属地教育、市场监管部门</w:t>
      </w:r>
      <w:r>
        <w:rPr>
          <w:rFonts w:hint="eastAsia"/>
          <w:lang w:eastAsia="zh-CN"/>
        </w:rPr>
        <w:t>，</w:t>
      </w:r>
      <w:r>
        <w:rPr>
          <w:rFonts w:hint="eastAsia"/>
        </w:rPr>
        <w:t>参照学校食堂监管要求，在“阳光食堂”平台开展供货验收工作，并配合教育部门进行成本核算。</w:t>
      </w:r>
    </w:p>
    <w:p>
      <w:pPr>
        <w:ind w:firstLine="640"/>
        <w:rPr>
          <w:rFonts w:hint="eastAsia"/>
        </w:rPr>
      </w:pPr>
      <w:r>
        <w:rPr>
          <w:rStyle w:val="54"/>
          <w:rFonts w:hint="eastAsia"/>
        </w:rPr>
        <w:t>第十二条</w:t>
      </w:r>
      <w:r>
        <w:t xml:space="preserve">  </w:t>
      </w:r>
      <w:r>
        <w:rPr>
          <w:rFonts w:hint="eastAsia"/>
        </w:rPr>
        <w:t>市场主体监管。在县级以上人民政府统筹下，建立由教育部门牵头，发展改革、公安、财政、农业农村、卫生健康、市场监管等部门组成的中小学食材招标工作组，组织和监督学校开展食堂运营主体（含受委托运营食堂的餐饮服务单位、校外供餐单位、食材供应商）招标工作。中小学食材招标工作组的组长由教育部门负责同志担任，办公室设在教育部门归口管理学校食堂工作的职能处（科）室。</w:t>
      </w:r>
    </w:p>
    <w:p>
      <w:pPr>
        <w:ind w:firstLine="640"/>
        <w:rPr>
          <w:rFonts w:hint="eastAsia"/>
        </w:rPr>
      </w:pPr>
      <w:r>
        <w:rPr>
          <w:rFonts w:hint="eastAsia"/>
        </w:rPr>
        <w:t>（一）落实公益性要求监管。学校不得收取或变相收取食堂承包费、租赁费、管理费等。餐饮服务单位不得转包和分包食堂委托运营业务或校外供餐业务。全部学校食堂和校外供餐，均纳入“阳光食堂”平台统一监管体系。</w:t>
      </w:r>
    </w:p>
    <w:p>
      <w:pPr>
        <w:ind w:firstLine="640"/>
      </w:pPr>
      <w:r>
        <w:rPr>
          <w:rFonts w:hint="eastAsia"/>
        </w:rPr>
        <w:t>（二）市场主体服务分值监管。“阳光食堂”平台建立学校食堂各类市场主体信用档案，综合学校管理人员、学生和家长志愿者、主管部门等开展的评价与检查情况，按照累计扣分制，动态记录市场主体的服务分值。市场主体在各设区市或县（市、区）的初始服务分值均为满分（</w:t>
      </w:r>
      <w:r>
        <w:t>100</w:t>
      </w:r>
      <w:r>
        <w:rPr>
          <w:rFonts w:hint="eastAsia"/>
        </w:rPr>
        <w:t>分），违规违约次数越多，分值越低，累计送货每500次可恢复1分，任何组织和个人不得篡改。</w:t>
      </w:r>
    </w:p>
    <w:p>
      <w:pPr>
        <w:pStyle w:val="52"/>
        <w:spacing w:before="526" w:after="351"/>
        <w:rPr>
          <w:rFonts w:hint="default"/>
        </w:rPr>
      </w:pPr>
      <w:r>
        <w:t>第四章</w:t>
      </w:r>
      <w:r>
        <w:rPr>
          <w:rFonts w:hint="default"/>
        </w:rPr>
        <w:t xml:space="preserve">  </w:t>
      </w:r>
      <w:r>
        <w:t>食堂运营收支监管</w:t>
      </w:r>
    </w:p>
    <w:p>
      <w:pPr>
        <w:ind w:firstLine="640"/>
        <w:rPr>
          <w:rFonts w:hint="eastAsia"/>
        </w:rPr>
      </w:pPr>
      <w:r>
        <w:rPr>
          <w:rStyle w:val="54"/>
          <w:rFonts w:hint="eastAsia"/>
        </w:rPr>
        <w:t>第十三条</w:t>
      </w:r>
      <w:r>
        <w:rPr>
          <w:rFonts w:hint="eastAsia"/>
        </w:rPr>
        <w:t xml:space="preserve">  食堂资金监管。学校的分餐制食堂和校外供餐，一般按学期预收伙食费；点餐制食堂，一般在就餐现场支付餐费。教育、财政部门和学校按照财务管理制度，规范学校食堂收支与核算，通过“阳光食堂”平台监管食堂运营收入与支出数据，突出食材支出监管。属地教育部门指导督促学校对食堂伙食费实行统一管理、专账核算，食堂资金收入应全部通过电子支付方式直接汇缴至学校食堂伙食费收缴账户。</w:t>
      </w:r>
    </w:p>
    <w:p>
      <w:pPr>
        <w:ind w:firstLine="640"/>
      </w:pPr>
      <w:r>
        <w:rPr>
          <w:rFonts w:hint="eastAsia"/>
        </w:rPr>
        <w:t>（一）预收伙食费监管。每学期开学前后，学校通知家长确认下一学期学生搭伙情况，由家长将伙食费直接汇缴至学校食堂伙食费收缴账户。使用预存资金的校园卡在餐厅现场付费的，学校应及时将实际发生的消费金额从预存资金银行账户划转到学校食堂伙食费收缴账户。伙食费不得交由膳食监督（管理）家长委员会、餐饮服务单位等任何集体或个人收取，不得通过伙食费收缴账户以外的途径收取，不得以教职工看护补贴、值厨费等福利奖金津贴、学校公务接待等名目侵占、转移、挪用。</w:t>
      </w:r>
    </w:p>
    <w:p>
      <w:pPr>
        <w:ind w:firstLine="640"/>
        <w:rPr>
          <w:rFonts w:hint="eastAsia"/>
        </w:rPr>
      </w:pPr>
      <w:r>
        <w:rPr>
          <w:rFonts w:hint="eastAsia"/>
        </w:rPr>
        <w:t>（二）食堂运营收入监管。学校不得将预收的伙食费直接计入食堂运营收入或冲减运营支出，应按权责发生制原则每月结算确认食堂运营收入。不得将与食堂运营无关的收入转入食堂，不得转移食堂收入，严禁挪用食堂资金或设立“小金库”。每月10日前，学校财务部门核定实际用餐人数、就餐次数和就餐标准，在平台记录相关数据，上传有关凭证。</w:t>
      </w:r>
    </w:p>
    <w:p>
      <w:pPr>
        <w:ind w:firstLine="640"/>
      </w:pPr>
      <w:r>
        <w:rPr>
          <w:rFonts w:hint="eastAsia"/>
        </w:rPr>
        <w:t>（三）食堂运营支出监管。学校应规范食堂资金使用审批流程，严格各类支出管理。按权责发生制原则，按月确认食堂运营支出，按合同定期支付食材等费用，在“阳光食堂”平台填报食堂人员工资、水电气等支出明细，上传相关财务凭证。学生休学、请假的，其已预缴的伙食费应据实退还。</w:t>
      </w:r>
    </w:p>
    <w:p>
      <w:pPr>
        <w:ind w:firstLine="640"/>
      </w:pPr>
      <w:r>
        <w:rPr>
          <w:rFonts w:hint="eastAsia"/>
        </w:rPr>
        <w:t>（四）督查与审计监管。每月上旬，食堂运营收入和支出，按照单位内控制度规定，经逐级审核后，由学校党政主要负责同志在财务原始凭证上签字确认，财务人员据此生成记账凭证。教育部门负责监管学校食堂伙食费收缴账户，结合日常管理不定期进行检查，每学年至少进行一次专项督查或审计，指导督促有关学校整改存在问题。</w:t>
      </w:r>
    </w:p>
    <w:p>
      <w:pPr>
        <w:ind w:firstLine="640"/>
      </w:pPr>
      <w:r>
        <w:rPr>
          <w:rStyle w:val="54"/>
          <w:rFonts w:hint="eastAsia"/>
        </w:rPr>
        <w:t>第十四条</w:t>
      </w:r>
      <w:r>
        <w:t xml:space="preserve"> </w:t>
      </w:r>
      <w:r>
        <w:rPr>
          <w:rFonts w:hint="eastAsia"/>
        </w:rPr>
        <w:t xml:space="preserve"> 成本核算监管。学校食堂的财务纳入学校财务统一管理，单独开展会计核算。</w:t>
      </w:r>
    </w:p>
    <w:p>
      <w:pPr>
        <w:numPr>
          <w:ilvl w:val="255"/>
          <w:numId w:val="0"/>
        </w:numPr>
        <w:ind w:firstLine="640"/>
        <w:rPr>
          <w:rFonts w:hint="eastAsia"/>
        </w:rPr>
      </w:pPr>
      <w:r>
        <w:rPr>
          <w:rFonts w:hint="eastAsia"/>
        </w:rPr>
        <w:t>（一）核算制度监管。各地应严格按照学校财务管理制度，制定学校食堂成本核算的具体规定。师生同灶的学校食堂，教职员工应与学生同餐、同量、同价缴费就餐。有条件的地区可制定教职工误餐补助制度。</w:t>
      </w:r>
    </w:p>
    <w:p>
      <w:pPr>
        <w:numPr>
          <w:ilvl w:val="255"/>
          <w:numId w:val="0"/>
        </w:numPr>
        <w:ind w:firstLine="640"/>
        <w:rPr>
          <w:rFonts w:hint="eastAsia"/>
        </w:rPr>
      </w:pPr>
      <w:r>
        <w:rPr>
          <w:rFonts w:hint="eastAsia"/>
        </w:rPr>
        <w:t>（二）伙食标准监管。食堂饭菜一律实行明码标价。学校应严格执行伙食费标准、按照非营利性监管要求配餐，并提前将每周带量营养食谱通过“阳光食堂”平台或线下方式向学生和家长公布。</w:t>
      </w:r>
    </w:p>
    <w:p>
      <w:pPr>
        <w:numPr>
          <w:ilvl w:val="255"/>
          <w:numId w:val="0"/>
        </w:numPr>
        <w:ind w:firstLine="640"/>
        <w:rPr>
          <w:rFonts w:hint="eastAsia"/>
        </w:rPr>
      </w:pPr>
      <w:r>
        <w:rPr>
          <w:rFonts w:hint="eastAsia"/>
        </w:rPr>
        <w:t>（三）核算数据监管。规范食堂成本核算，有效控制人员及水电气成本、非食材类耗材支出等，严禁虚列或违规支出、套取资金。教职工就餐费用、与食堂经营无直接关系的费用、食堂基本建设和大型设施设备添置费用，以及财政性资金形成的食堂固定资产的折旧等不纳入学生伙食成本。政府保障或纳入编制管理的食堂工作人员工资及福利支出及各项保险不计入食堂运营成本。</w:t>
      </w:r>
    </w:p>
    <w:p>
      <w:pPr>
        <w:numPr>
          <w:ilvl w:val="255"/>
          <w:numId w:val="0"/>
        </w:numPr>
        <w:ind w:firstLine="640"/>
        <w:rPr>
          <w:rFonts w:hint="eastAsia"/>
        </w:rPr>
      </w:pPr>
      <w:r>
        <w:rPr>
          <w:rFonts w:hint="eastAsia"/>
        </w:rPr>
        <w:t>（四）收支平衡监管。食堂运营收支应保持动态平衡，每月核算收支情况，月结余款专项用于下月改善学生伙食，每学期末据实结算学生伙食费，多退少补，不得以任何理由截留挪、用学生伙食费结余资金。</w:t>
      </w:r>
    </w:p>
    <w:p>
      <w:pPr>
        <w:numPr>
          <w:ilvl w:val="255"/>
          <w:numId w:val="0"/>
        </w:numPr>
        <w:ind w:firstLine="640"/>
      </w:pPr>
      <w:r>
        <w:rPr>
          <w:rFonts w:hint="eastAsia"/>
        </w:rPr>
        <w:t>（五）主辅食材成本占比监管。各地应加强学校食堂主辅食材成本占比监测，食堂主辅食材支出占同期食堂运营支出比例应保持在75%以上。师生分灶的，教职工伙食的主辅食材支出不纳入食堂主辅食材成本占比核算。</w:t>
      </w:r>
    </w:p>
    <w:p>
      <w:pPr>
        <w:ind w:firstLine="640"/>
      </w:pPr>
      <w:r>
        <w:rPr>
          <w:rStyle w:val="54"/>
          <w:rFonts w:hint="eastAsia"/>
        </w:rPr>
        <w:t>第十五条</w:t>
      </w:r>
      <w:r>
        <w:t xml:space="preserve">  </w:t>
      </w:r>
      <w:r>
        <w:rPr>
          <w:rFonts w:hint="eastAsia"/>
        </w:rPr>
        <w:t>规范学校食堂运营监管。各地要按照学校隶属关系、财政事权与支出责任划分等有关规定和食堂非营利性要求，按年度足额安排公办学校的食堂建设与改造、大型设备添置与更新、在编人员工资等预算。民办学校应从办学收入中安排足够资金，用于学校食堂基础设施设备建设、运营管理等。学校要配备身体健康、职业技能好、责任心强的食堂管理干部和工作人员，原则上每100名就餐学生配备1名食堂员工，小规模和日供餐两至三次的学校可适当增加食堂人员配备，具体办法由各地予以明确。鼓励学校通过使用先进技术、自动化设备等方式减少食堂人员，降低人员支出成本占比。</w:t>
      </w:r>
    </w:p>
    <w:p>
      <w:pPr>
        <w:pStyle w:val="52"/>
        <w:spacing w:before="526" w:after="351"/>
        <w:rPr>
          <w:rFonts w:hint="default"/>
        </w:rPr>
      </w:pPr>
      <w:r>
        <w:t>第五章</w:t>
      </w:r>
      <w:r>
        <w:rPr>
          <w:rFonts w:hint="default"/>
        </w:rPr>
        <w:t xml:space="preserve">  </w:t>
      </w:r>
      <w:r>
        <w:t>食堂招标采购监管</w:t>
      </w:r>
    </w:p>
    <w:p>
      <w:pPr>
        <w:numPr>
          <w:ilvl w:val="255"/>
          <w:numId w:val="0"/>
        </w:numPr>
        <w:ind w:firstLine="640"/>
        <w:rPr>
          <w:rFonts w:hint="eastAsia"/>
        </w:rPr>
      </w:pPr>
      <w:r>
        <w:rPr>
          <w:rStyle w:val="54"/>
          <w:rFonts w:hint="eastAsia"/>
        </w:rPr>
        <w:t>第十六条</w:t>
      </w:r>
      <w:r>
        <w:t xml:space="preserve">  </w:t>
      </w:r>
      <w:r>
        <w:rPr>
          <w:rFonts w:hint="eastAsia"/>
        </w:rPr>
        <w:t>食材公开招标采购监管。每年秋季开学前，在属地教育部门主管范围内，学校成立食材采购联合体，委托当地公共资源交易中心或者公开招标确定代理机构（统称招标实施机构），实施食材公开招标采购工作，招标信息应在“江苏省学校阳光食堂</w:t>
      </w:r>
      <w:r>
        <w:t>”</w:t>
      </w:r>
      <w:r>
        <w:rPr>
          <w:rFonts w:hint="eastAsia"/>
        </w:rPr>
        <w:t>网站发布。各级教育部门通过在线巡查分析“阳光食堂”平台采集的信息，对学校食材招标采购情况进行监管。</w:t>
      </w:r>
    </w:p>
    <w:p>
      <w:pPr>
        <w:numPr>
          <w:ilvl w:val="255"/>
          <w:numId w:val="0"/>
        </w:numPr>
        <w:ind w:firstLine="640"/>
      </w:pPr>
      <w:r>
        <w:rPr>
          <w:rFonts w:hint="eastAsia"/>
        </w:rPr>
        <w:t>（一）招标工作组职能监管。中小学食材招标工作组负责监督和指导招标实施机构有力有序做好以下工作：</w:t>
      </w:r>
      <w:r>
        <w:rPr>
          <w:rFonts w:hint="eastAsia"/>
          <w:highlight w:val="none"/>
        </w:rPr>
        <w:t>建立本地食材库、汇集与梳理学校食材采购需求、发布资格审查</w:t>
      </w:r>
      <w:r>
        <w:rPr>
          <w:rFonts w:hint="eastAsia"/>
        </w:rPr>
        <w:t>公告、</w:t>
      </w:r>
      <w:r>
        <w:t>编制资格</w:t>
      </w:r>
      <w:r>
        <w:rPr>
          <w:rFonts w:hint="eastAsia"/>
        </w:rPr>
        <w:t>审查</w:t>
      </w:r>
      <w:r>
        <w:t>文件、</w:t>
      </w:r>
      <w:r>
        <w:rPr>
          <w:rFonts w:hint="eastAsia"/>
        </w:rPr>
        <w:t>对供应商资格进行审查、编制和发布</w:t>
      </w:r>
      <w:r>
        <w:t>招标</w:t>
      </w:r>
      <w:r>
        <w:rPr>
          <w:rFonts w:hint="eastAsia"/>
        </w:rPr>
        <w:t>文件、开标和评标工作等。</w:t>
      </w:r>
    </w:p>
    <w:p>
      <w:pPr>
        <w:numPr>
          <w:ilvl w:val="255"/>
          <w:numId w:val="0"/>
        </w:numPr>
        <w:ind w:firstLine="640"/>
        <w:rPr>
          <w:rFonts w:hint="eastAsia"/>
        </w:rPr>
      </w:pPr>
      <w:r>
        <w:rPr>
          <w:rFonts w:hint="eastAsia"/>
        </w:rPr>
        <w:t>（二）确定招标实施机构监管。鼓励市县公共资源交易中心实施中小学食材公开招标采购工作。暂不具备条件的，由学校食材采购联合体按照学校内控制度，确定食材招标代理机构和代理费用。具体组织实施食材招标采购工作的公共资源交易中心或社会代理机构，统称为招标实施机构。</w:t>
      </w:r>
    </w:p>
    <w:p>
      <w:pPr>
        <w:numPr>
          <w:ilvl w:val="255"/>
          <w:numId w:val="0"/>
        </w:numPr>
        <w:ind w:firstLine="640"/>
      </w:pPr>
      <w:r>
        <w:rPr>
          <w:rFonts w:hint="eastAsia"/>
        </w:rPr>
        <w:t>（三）评标委员会专家库监管。中小学食材招标工作组依法依规制定评标委员会专家标准、负责建立评标委员会专家库，专家库每年应更新一次。专家库人员应具备财务管理、食品安全、市场流通、检验检疫、招标采购、膳食营养、农业生产等某方面的工作专长，主要来自本地区发展改革、教育、公安、财政、农业农村、卫生健康、市场监管、粮食储备等部门和学校推荐的相关管理人员与技术骨干，应有足够多的人数，以确保每次评标委员会不少于11位专家、每位专家每年参加评标委员会次数不超过2次。评标委员会专家均应现场签订保密承诺，与学校食材供应商、受委托运营餐饮服务单位以及校外供餐单位有利害关系的人员，不得进入专家库。</w:t>
      </w:r>
    </w:p>
    <w:p>
      <w:pPr>
        <w:numPr>
          <w:ilvl w:val="255"/>
          <w:numId w:val="0"/>
        </w:numPr>
        <w:ind w:firstLine="640"/>
      </w:pPr>
      <w:r>
        <w:rPr>
          <w:rFonts w:hint="eastAsia"/>
        </w:rPr>
        <w:t>（四）食材分类招标监管。中小学食材招标工作组在新版《省级食材目录》（从“阳光食堂”</w:t>
      </w:r>
      <w:r>
        <w:rPr>
          <w:rFonts w:hint="eastAsia"/>
          <w:highlight w:val="none"/>
        </w:rPr>
        <w:t>平台下载）的基础上，根据学校的食材需求（名称、规格等）建立满足辖区需要的本地食材库。对米面油、干货调</w:t>
      </w:r>
      <w:r>
        <w:rPr>
          <w:rFonts w:hint="eastAsia"/>
        </w:rPr>
        <w:t>味品、速冻食品、乳品、水饮品、烘焙零食等价格波动较小的六个大类食材采用“评标竞价”方式招标，由评标委员会根据招标文件规定，综合评分确定中标供应商。对水果、蔬菜、豆/粮制品、禽肉蛋、猪肉、牛羊肉、水产等价格波动较大的七个大类食材采用“实际竞价”方式招标，由“阳光食堂”平台根据价格分、服务分并结合运送能力，自动评分确定中标供应商。</w:t>
      </w:r>
    </w:p>
    <w:p>
      <w:pPr>
        <w:numPr>
          <w:ilvl w:val="255"/>
          <w:numId w:val="0"/>
        </w:numPr>
        <w:ind w:firstLine="640"/>
      </w:pPr>
      <w:r>
        <w:rPr>
          <w:rFonts w:hint="eastAsia"/>
        </w:rPr>
        <w:t>“阳光食堂”平台提供中小学食材公开招标标段划分功能，中小学食材招标工作组根据实际需求和设置的招标周期，以学校分组（按学校所处区域、就餐人数等条件分为若干组，由各组组长学校在平台操作添加组员）和食材分组（各类食材在同一定价方式中可自由组合为若干组）互相组合，确定最终标段数量及相应食材种类。食材分组和学校分组原则上应当有利于促进充分竞争、降低供货价格、减少招标成本、便于物流配送、提高食材质量。在公开招标且符合食品安全标准的前提下，鼓励各地学校食堂广泛选用本土化食材和应季食材。</w:t>
      </w:r>
    </w:p>
    <w:p>
      <w:pPr>
        <w:ind w:firstLine="640"/>
      </w:pPr>
      <w:r>
        <w:rPr>
          <w:rFonts w:hint="eastAsia"/>
        </w:rPr>
        <w:t>（五）定价机制监管。对定价方式为“评标竞价”的食材招标，最长可每学年开展一次招标。评标委员会依法独立开展评标工作，根据供应商报价、服务方案、企业实力、履约和服务能力等因素，综合评分确定中标供应商，单品食材价格为中标供应商报价。对定价方式为“实际竞价”的食材招标，最长可每2个月开展一次招标，“阳光食堂”平台根据入围供应商报价和服务分值，结合运送能力，自动评分确定各标段中标供货商，单品食材价格为中标供应商报价。招标时间和周期由各地根据实际情况确定，遇有寒暑假可适当延长食材招标的供货时间。中小学食材招标工作组可定期根据各地发改委等相关政府部门、市场主体发布的食材价格在“阳光食堂”平台设置参考食材价格，用以指导报价工作。</w:t>
      </w:r>
    </w:p>
    <w:p>
      <w:pPr>
        <w:ind w:firstLine="640"/>
        <w:rPr>
          <w:rFonts w:hint="eastAsia"/>
        </w:rPr>
      </w:pPr>
      <w:r>
        <w:rPr>
          <w:rFonts w:hint="eastAsia"/>
        </w:rPr>
        <w:t>（六）带量采购需求监管。中小学食材招标工作组通过“阳光食堂”平台汇总上一招标周期学校各类食材的带量采购需求，确保本招标周期中学校上报采购需求的合理性。学校须在相应招标周期内按中小学食材招标工作组要求，通过“阳光食堂”平台上报食材的带量采购需求，包含食材的品种、数量、规格等。“阳光食堂”平台按照就餐人数、用餐次数、食材标准用量测算并汇总各校实际需求品类、规格等级、采购数量等。“阳光食堂”平台提供《学校营养食谱》，鼓励学校从中选择并制定采购周期内的带量食谱，精准计算采购需求。</w:t>
      </w:r>
    </w:p>
    <w:p>
      <w:pPr>
        <w:ind w:firstLine="640"/>
      </w:pPr>
      <w:r>
        <w:rPr>
          <w:rFonts w:hint="eastAsia"/>
        </w:rPr>
        <w:t>（七）资格审查文件监管。每年5月底，中小学食材招标工作组监督指导学校食材采购联合体、招标实施机构，开展供应商投标资格审查文件的编制工作。资格审查文件应参照“阳光食堂”平台中提供的《中小学食材采购项目资格审查文件参考模板》，各地可结合实际情况，明确食材分组、供应商资质要求、资格审查方法等。</w:t>
      </w:r>
    </w:p>
    <w:p>
      <w:pPr>
        <w:spacing w:line="560" w:lineRule="exact"/>
        <w:ind w:firstLine="640"/>
      </w:pPr>
      <w:r>
        <w:rPr>
          <w:rFonts w:hint="eastAsia"/>
        </w:rPr>
        <w:t>学校食材供应商的资质包括独立法人、食品经营许可、日常供货能力、应急保供、固定经营场所面积、冷冻冷藏、冷链配送、检验检测、固定人员配备等方面。编制资格审查文件须依法依规、结合实际明确具体要求，既要保证供应商有稳定的供货能力，也要避免设置市场壁垒等违反公平竞争的情形发生。学校食材采购不接受联合体报名参与。</w:t>
      </w:r>
    </w:p>
    <w:p>
      <w:pPr>
        <w:ind w:firstLine="640"/>
        <w:rPr>
          <w:rFonts w:hint="eastAsia"/>
        </w:rPr>
      </w:pPr>
      <w:r>
        <w:rPr>
          <w:rFonts w:hint="eastAsia"/>
        </w:rPr>
        <w:t>（八）发布资格审查公告监管。省教育厅建立“江苏省学校阳光食堂”网站，各市县教育部门网站设置本地区学校食堂招标采购信息公开专栏与网站实时联动。6月上旬，中小学食材招标工作组通过“阳光食堂”平台向“江苏省学校阳光食堂”网站发布资格审查公告，市县教育部门网站同步关联。</w:t>
      </w:r>
    </w:p>
    <w:p>
      <w:pPr>
        <w:ind w:firstLine="640"/>
        <w:rPr>
          <w:szCs w:val="32"/>
        </w:rPr>
      </w:pPr>
      <w:r>
        <w:rPr>
          <w:rFonts w:hint="eastAsia"/>
        </w:rPr>
        <w:t>（九）供应商资格审查监管。由发展改革、教育、公安、财政、农业农村、卫生健康、市场监管等部门人员、招标实施机构工作人员、本地区学校的食堂管理人员代表和家长志愿者组成资格审查工作组，采取现场考察等方式，根据食材分组对报名供应商进行资格审查，如实记录审查数据，并通过现场拍照、签字留痕等方式保存相关证据。</w:t>
      </w:r>
      <w:r>
        <w:rPr>
          <w:rFonts w:hint="eastAsia" w:ascii="仿宋_GB2312" w:hAnsi="仿宋_GB2312" w:cs="仿宋_GB2312"/>
          <w:szCs w:val="32"/>
        </w:rPr>
        <w:t>通过资格审查的供应商（即入围供应商）</w:t>
      </w:r>
      <w:r>
        <w:rPr>
          <w:rFonts w:hint="eastAsia" w:ascii="宋体" w:hAnsi="宋体"/>
          <w:szCs w:val="21"/>
        </w:rPr>
        <w:t>在入围有效期内</w:t>
      </w:r>
      <w:r>
        <w:rPr>
          <w:rFonts w:hint="eastAsia"/>
          <w:szCs w:val="32"/>
        </w:rPr>
        <w:t>可参与相应的食材投标。</w:t>
      </w:r>
      <w:r>
        <w:rPr>
          <w:rFonts w:hint="eastAsia"/>
        </w:rPr>
        <w:t>中小学食材招标工作组</w:t>
      </w:r>
      <w:r>
        <w:rPr>
          <w:szCs w:val="32"/>
        </w:rPr>
        <w:t>在</w:t>
      </w:r>
      <w:r>
        <w:rPr>
          <w:rFonts w:hint="eastAsia"/>
          <w:szCs w:val="32"/>
        </w:rPr>
        <w:t>“阳光食堂”平台为</w:t>
      </w:r>
      <w:r>
        <w:rPr>
          <w:rFonts w:hint="eastAsia" w:ascii="仿宋_GB2312" w:hAnsi="仿宋_GB2312" w:cs="仿宋_GB2312"/>
          <w:szCs w:val="32"/>
        </w:rPr>
        <w:t>入围供应商</w:t>
      </w:r>
      <w:r>
        <w:rPr>
          <w:szCs w:val="32"/>
        </w:rPr>
        <w:t>创建账号</w:t>
      </w:r>
      <w:r>
        <w:rPr>
          <w:rFonts w:hint="eastAsia"/>
          <w:szCs w:val="32"/>
        </w:rPr>
        <w:t>、核定车辆运输能力值</w:t>
      </w:r>
      <w:r>
        <w:rPr>
          <w:szCs w:val="32"/>
        </w:rPr>
        <w:t>及</w:t>
      </w:r>
      <w:r>
        <w:rPr>
          <w:rFonts w:hint="eastAsia"/>
          <w:szCs w:val="32"/>
        </w:rPr>
        <w:t>资质信息，设置可供应的食材</w:t>
      </w:r>
      <w:r>
        <w:rPr>
          <w:szCs w:val="32"/>
        </w:rPr>
        <w:t>大类</w:t>
      </w:r>
      <w:r>
        <w:rPr>
          <w:rFonts w:hint="eastAsia"/>
          <w:szCs w:val="32"/>
        </w:rPr>
        <w:t>。入围供应商根据各类食材的招标周期，通过“阳光食堂”平台对供应范围内所有单品食材进行报价。</w:t>
      </w:r>
    </w:p>
    <w:p>
      <w:pPr>
        <w:ind w:firstLine="640"/>
        <w:jc w:val="left"/>
        <w:rPr>
          <w:highlight w:val="yellow"/>
        </w:rPr>
      </w:pPr>
      <w:r>
        <w:rPr>
          <w:rFonts w:hint="eastAsia"/>
        </w:rPr>
        <w:t>“阳光食堂”平台提供资格审查表的参考文本《资格审查现场考察表》，各地可结合各食材分组进一步完善。资格审查结束后，中小学食材招标工作组在“江苏省学校阳光食堂”网站公示资格审查相关结果。</w:t>
      </w:r>
    </w:p>
    <w:p>
      <w:pPr>
        <w:ind w:firstLine="640"/>
        <w:rPr>
          <w:rFonts w:hint="eastAsia"/>
        </w:rPr>
      </w:pPr>
      <w:r>
        <w:rPr>
          <w:rFonts w:hint="eastAsia"/>
        </w:rPr>
        <w:t>（十）签订入围协议监管。入围供应商名单确定后，中小学食材招标工作组组织食材采购联合体与入围供应商签订入围协议，明确入围期限、食材配送要求、考核评价和供应商负面清单等内容。入围协议中应约定入围供应商如中标后不得转包、分包协议标的。入围供应商须根据食材分组缴纳相应的履约保证金。</w:t>
      </w:r>
    </w:p>
    <w:p>
      <w:pPr>
        <w:ind w:firstLine="640"/>
      </w:pPr>
      <w:r>
        <w:rPr>
          <w:rFonts w:hint="eastAsia"/>
        </w:rPr>
        <w:t>（十一）制定招标文件监管。入围供应商名单确定后，中小学食材招标工作组监督指导学校食材采购联合体和招标实施机构，参照“阳光食堂”平台提供的《中小学食材采购公开招标文件参考模板》，结合本地区下一阶段学校食材采购需求，明确综合评分规则，突出履约供货监管要求、供应商负面清单和退出机制等，严禁供应商分包、转包，制定招标文件。招标文件中应特别注意食材分组与学校分组的食材需求量和供应商实际供货能力之间的关系，应能够保障本标段内学校的食材供货需求。</w:t>
      </w:r>
    </w:p>
    <w:p>
      <w:pPr>
        <w:ind w:firstLine="640"/>
      </w:pPr>
      <w:r>
        <w:rPr>
          <w:rFonts w:hint="eastAsia"/>
        </w:rPr>
        <w:t>招标文件应明确每个标段中标供应商为1家，每个标段参与投标的入围供应商数量应不少于3家，入围供应商可以兼投兼中。“实际竞价”标段中，入围供应商根据资格审查后确认的车辆运输能力值决定中标数量，即每中一个标段，根据标段食材每日运送总量扣除相应的运输能力值，当运输能力值不足时，无法继续中标。</w:t>
      </w:r>
    </w:p>
    <w:p>
      <w:pPr>
        <w:ind w:firstLine="640"/>
        <w:rPr>
          <w:rFonts w:hint="eastAsia"/>
        </w:rPr>
      </w:pPr>
      <w:r>
        <w:rPr>
          <w:rFonts w:hint="eastAsia"/>
        </w:rPr>
        <w:t>若中标供应商因触发退出机制或存在其他特殊原因无法继续供货，食材采购联合体须向中小学食材招标工作组提交书面情况说明。中小学食材招标工作组可根据招标结果从剩余中标候选供货商中按顺序选择车辆运输能力值满足该标段要求的作为递补供应。如无合规的递补供应商，经中小学食材招标工作组研究后，可面向入围供应商重新组织招标。</w:t>
      </w:r>
    </w:p>
    <w:p>
      <w:pPr>
        <w:ind w:firstLine="640"/>
      </w:pPr>
      <w:r>
        <w:rPr>
          <w:rFonts w:hint="eastAsia"/>
        </w:rPr>
        <w:t>（十二）发布招标文件监管。6月中下旬，中小学食材招标工作组审定招标文件后，通过“江苏省学校阳光食堂”网站发布招标公告，市县教育部门网站同步关联。</w:t>
      </w:r>
    </w:p>
    <w:p>
      <w:pPr>
        <w:ind w:firstLine="640"/>
        <w:rPr>
          <w:rFonts w:hint="eastAsia"/>
        </w:rPr>
      </w:pPr>
      <w:r>
        <w:rPr>
          <w:rFonts w:hint="eastAsia"/>
        </w:rPr>
        <w:t>（十三）评标竞价监管。采用“评标竞价”方式的食材招标，入围供应商应当符合国家有关规定、具备招标文件规定的资质。在招标文件明确的期限内，入围供应商按照招标程序和相关工作要求提交投标文件，并应对招标文件提出的实质性要求和条件作出响应。入围供应商投标时，应选择知名度高、市场普遍认可、食品安全有保障的食材或食品品牌。</w:t>
      </w:r>
    </w:p>
    <w:p>
      <w:pPr>
        <w:ind w:firstLine="640"/>
      </w:pPr>
      <w:r>
        <w:rPr>
          <w:rFonts w:hint="eastAsia"/>
        </w:rPr>
        <w:t>（十四）开标、评标及中标监管。符合开标条件的，在中小学食材招标工作组监督下，由招标实施机构人员、学校食堂管理人员代表和家长志愿者共同参与开标。开标记录的相关信息和证明材料在“阳光食堂”平台中存档备查。</w:t>
      </w:r>
    </w:p>
    <w:p>
      <w:pPr>
        <w:ind w:firstLine="640"/>
      </w:pPr>
      <w:r>
        <w:rPr>
          <w:rFonts w:hint="eastAsia"/>
        </w:rPr>
        <w:t>评标应在严格保密的情况下进行，由中小学食材招标工作组监督招标实施机构依法组建的评标委员会负责。评标委员会组成专家不少于11人，另随机从本地区在校学生家长志愿者库中选取2人作为评标监督人。中小学食材招标工作组监督采购人（学校食材采购联合体）代表在“阳光食堂”平台提前</w:t>
      </w:r>
      <w:r>
        <w:t>48</w:t>
      </w:r>
      <w:r>
        <w:rPr>
          <w:rFonts w:hint="eastAsia"/>
        </w:rPr>
        <w:t>小时内按照保密要求随机抽取评标专家，由平台自动发送通知给被抽中专家。开标前24小时，采购人代表核实专家是否到场以及存在名单泄露风险，及时做好增补工作并确认最终名单。评标委员会专家名单在评标结果确定前应当保密，与投标供应商有利害关系的专家应依法回避。评标委员会专家也可根据实际情况委托招标实施机构从省政府采购平台评审专家库按其相关流程规定抽取。</w:t>
      </w:r>
    </w:p>
    <w:p>
      <w:pPr>
        <w:ind w:firstLine="640"/>
      </w:pPr>
      <w:r>
        <w:rPr>
          <w:rFonts w:hint="eastAsia"/>
        </w:rPr>
        <w:t>评标委员会独立开展评标工作，任何单位和个人不得非法干预、影响评标的过程和结果。评标委员会按照招标文件确定的评标方式和程序，结合“阳光食堂”平台提供的投标供应商服务分值等信息开展评审，完成评审后应向中小学食材招标工作组提出书面评标报告。中小学食材招标工作组指导采购人代表依程序确定中标供应商，每个标段中标供应商为1家。评标结束后，中小学食材招标工作组监督指导采购人代表和招标实施机构在“江苏省学校阳光食堂”网站公示中标结果。</w:t>
      </w:r>
    </w:p>
    <w:p>
      <w:pPr>
        <w:ind w:firstLine="640"/>
      </w:pPr>
      <w:r>
        <w:rPr>
          <w:rFonts w:hint="eastAsia"/>
        </w:rPr>
        <w:t>开标评标现场应全程不间断、无死角进行影音记录，按照保密要求管理现场所有人员。如有质疑，由采购人代表和招标实施机构负责受理。如有投诉，由中小学食材招标工作组负责处理。开标、评标和中标相关书面记录上传“阳光食堂”平台存档备查，电子影音资料交由教育部门集中存档备查。各地可结合实际制定开标评标的具体规定和工作要求。</w:t>
      </w:r>
    </w:p>
    <w:p>
      <w:pPr>
        <w:ind w:firstLine="640"/>
      </w:pPr>
      <w:r>
        <w:rPr>
          <w:rFonts w:hint="eastAsia"/>
        </w:rPr>
        <w:t>中小学食材公开招标中评标委员会的专家费发放工作，原则上参照政府采购相关政策规定执行。</w:t>
      </w:r>
    </w:p>
    <w:p>
      <w:pPr>
        <w:ind w:firstLine="640"/>
      </w:pPr>
      <w:r>
        <w:rPr>
          <w:rFonts w:hint="eastAsia"/>
        </w:rPr>
        <w:t>（十五）实际竞价监管。对于采用“实际竞价”方式的食材招标，入围供应商须按要求在“阳光食堂”平台对供应范围内所有食材单品进行报价。逾期不参加实际竞价的入围供应商，视为违约，相应扣减其服务分值，并按入围协议中相关约定扣除履约保证金。</w:t>
      </w:r>
    </w:p>
    <w:p>
      <w:pPr>
        <w:ind w:firstLine="640"/>
      </w:pPr>
      <w:r>
        <w:rPr>
          <w:rFonts w:hint="eastAsia"/>
        </w:rPr>
        <w:t>报价截止后，平台按照食材价格分（占比为6</w:t>
      </w:r>
      <w:r>
        <w:t>0%</w:t>
      </w:r>
      <w:r>
        <w:rPr>
          <w:rFonts w:hint="eastAsia"/>
        </w:rPr>
        <w:t>）和供应商服务分值（占比为4</w:t>
      </w:r>
      <w:r>
        <w:t>0%</w:t>
      </w:r>
      <w:r>
        <w:rPr>
          <w:rFonts w:hint="eastAsia"/>
        </w:rPr>
        <w:t>）进行综合评分，按最高得分且满足车辆运输能力值确定实际供货的供应商名单，供货价格以中标供应商报价为准。每个标段内实际供货供应商数量为1家，参与实际竞价的供应商数量应不少于3家，实际竞价结束后，中小学食材招标工作组在“江苏省学校阳光食堂”网站公示中标结果，“阳光食堂”平台根据竞价结果自动生成供货合同，供应商按合同约定供货。</w:t>
      </w:r>
    </w:p>
    <w:p>
      <w:pPr>
        <w:ind w:firstLine="640"/>
      </w:pPr>
      <w:r>
        <w:rPr>
          <w:rFonts w:hint="eastAsia"/>
        </w:rPr>
        <w:t>食材价格分按照标段内入围供应商食材带量总报价排序后剔除异常值（最高和最低的10%，供应商数量＜7家时，仅剔除最高价），剩余价格作为有效报价，计算所有有效报价的平均值作为第一次平均价，取低于第一次平均价的所有有效报价再次计算平均值作为第二次平均价，取两次平均价的平均值作为基准价，报价与基准价偏离越小的，价格分越高。报价与基准价偏离越多的，价格分越低。</w:t>
      </w:r>
    </w:p>
    <w:p>
      <w:pPr>
        <w:ind w:firstLine="640"/>
      </w:pPr>
      <w:r>
        <w:rPr>
          <w:rFonts w:hint="eastAsia"/>
        </w:rPr>
        <w:t>供应商服务分值由平台记录形成，综合供应商参与实际竞价、品牌与生产商匹配度、配送时效、食材质量、退换货、配送管理等情况，学校工作人员、学生和家长评价以及投诉等情况打分，实行累计扣分制，动态记录供应商的服务分值。相关具体规定，由各地结合实际情况予以细化。</w:t>
      </w:r>
    </w:p>
    <w:p>
      <w:pPr>
        <w:ind w:firstLine="640" w:firstLineChars="0"/>
      </w:pPr>
      <w:r>
        <w:rPr>
          <w:rFonts w:hint="eastAsia"/>
        </w:rPr>
        <w:t>（十</w:t>
      </w:r>
      <w:r>
        <w:rPr>
          <w:rFonts w:hint="eastAsia"/>
          <w:lang w:val="en-US" w:eastAsia="zh-CN"/>
        </w:rPr>
        <w:t>六</w:t>
      </w:r>
      <w:r>
        <w:rPr>
          <w:rFonts w:hint="eastAsia"/>
        </w:rPr>
        <w:t>）签订供货合同监管。对采用“评标竞价”方式的食材招标，公开招标结果确定后，中小学食材招标工作组根据招标文件、投标文件和中标结果，组织各标段内学校与中标供应商签订采购合同，明确各类食材供货品类、规格等级、配送要求和考核机制等。对采用“实际竞价”方式的食材招标，在每周期阳光平台竞价结束，确定中标供应商后，签订采购合同。</w:t>
      </w:r>
    </w:p>
    <w:p>
      <w:pPr>
        <w:numPr>
          <w:ilvl w:val="255"/>
          <w:numId w:val="0"/>
        </w:numPr>
        <w:ind w:firstLine="640"/>
      </w:pPr>
      <w:r>
        <w:rPr>
          <w:rFonts w:hint="eastAsia"/>
        </w:rPr>
        <w:t>实际供货中，学校根据使用需求在“阳光食堂”平台发布供货需求并生成供货订单。供货订单原则上不得修改，如遇传染病、手足口病、疫情传播、大型活动等特殊情况，学校须向主管教育部门提交说明申请后方可修改。供应商根据订单中食材数量进行配送，学校做好食材验收工作，实际订单数量以入库</w:t>
      </w:r>
      <w:r>
        <w:rPr>
          <w:rFonts w:hint="eastAsia"/>
          <w:lang w:eastAsia="zh-CN"/>
        </w:rPr>
        <w:t>数量</w:t>
      </w:r>
      <w:r>
        <w:rPr>
          <w:rFonts w:hint="eastAsia"/>
        </w:rPr>
        <w:t>为准。</w:t>
      </w:r>
    </w:p>
    <w:p>
      <w:pPr>
        <w:ind w:firstLine="640"/>
      </w:pPr>
      <w:r>
        <w:rPr>
          <w:rFonts w:hint="eastAsia"/>
        </w:rPr>
        <w:t>（十</w:t>
      </w:r>
      <w:r>
        <w:rPr>
          <w:rFonts w:hint="eastAsia"/>
          <w:lang w:val="en-US" w:eastAsia="zh-CN"/>
        </w:rPr>
        <w:t>七</w:t>
      </w:r>
      <w:r>
        <w:rPr>
          <w:rFonts w:hint="eastAsia"/>
        </w:rPr>
        <w:t>）特殊情形监管。学校食材供货合同到期，一律按新机制招标采购；未到期的，应采取协商等方式，原则上应于2026年暑假期间按新机制招标采购。</w:t>
      </w:r>
    </w:p>
    <w:p>
      <w:pPr>
        <w:ind w:firstLine="640"/>
        <w:rPr>
          <w:rFonts w:hint="eastAsia"/>
        </w:rPr>
      </w:pPr>
      <w:r>
        <w:rPr>
          <w:rStyle w:val="54"/>
          <w:rFonts w:hint="eastAsia"/>
        </w:rPr>
        <w:t xml:space="preserve">第十七条  </w:t>
      </w:r>
      <w:r>
        <w:rPr>
          <w:rFonts w:hint="eastAsia"/>
        </w:rPr>
        <w:t>供货与验收监管。中标供应商按供货合同向学校食堂供应食材。学校是供货验收的责任主体，学校党政主要负责同志是第一责任人，对供货验收工作负总责。学校食堂负责人是供货验收的直接责任人，对食材质量、数量和库存管理负责。</w:t>
      </w:r>
    </w:p>
    <w:p>
      <w:pPr>
        <w:ind w:firstLine="640"/>
        <w:rPr>
          <w:rFonts w:hint="eastAsia"/>
        </w:rPr>
      </w:pPr>
      <w:r>
        <w:rPr>
          <w:rFonts w:hint="eastAsia"/>
        </w:rPr>
        <w:t>（一）验收准备工作监管。学校建立健全供货验收管理制度，成立由学校食堂管理工作组成员和食堂员工组成的食材验收组，定期轮换验收，每天由不少于2名人员，在指定验收区域开展食材验收工作。原则上，学校应每周随机安排学校食堂管理工作组成员参加食材验收，并按要求将每日验收人员名单录入“阳光食堂”平台。</w:t>
      </w:r>
    </w:p>
    <w:p>
      <w:pPr>
        <w:ind w:firstLine="640"/>
        <w:rPr>
          <w:rFonts w:hint="eastAsia"/>
        </w:rPr>
      </w:pPr>
      <w:r>
        <w:rPr>
          <w:rFonts w:hint="eastAsia"/>
        </w:rPr>
        <w:t>“阳光食堂”平台提供食材验收专用手机端应用程序，实现在线验收功能，提高验收效率，保证信息真实、完整。</w:t>
      </w:r>
    </w:p>
    <w:p>
      <w:pPr>
        <w:ind w:firstLine="640"/>
        <w:rPr>
          <w:rFonts w:hint="eastAsia"/>
        </w:rPr>
      </w:pPr>
      <w:r>
        <w:rPr>
          <w:rFonts w:hint="eastAsia"/>
        </w:rPr>
        <w:t>（二）供货信息管理监管。严格执行索证索票制度，查验供应商的食品经营许可证和食材合格证明（食品出厂检验合格证、检验检疫证等），如实记录食材名称、质量等级、数量、生产日期、保质期、进货日期，以及供应商名称、地址、联系人和联系方式等内容。相关信息由供应商在平台提交，验收时现场核实并留存相关证据。鼓励各地教育、农业农村、市场监管等部门联合开展相关信息化管理，完善学校食材质量与安全溯源机制。</w:t>
      </w:r>
    </w:p>
    <w:p>
      <w:pPr>
        <w:ind w:firstLine="640"/>
        <w:rPr>
          <w:rFonts w:hint="eastAsia"/>
        </w:rPr>
      </w:pPr>
      <w:r>
        <w:rPr>
          <w:rFonts w:hint="eastAsia"/>
        </w:rPr>
        <w:t>（三）配送环节监管。市场监管、教育等部门和学校对食材配送的路线、时长、运输、存储等情况进行监管，保证在规定的时间内点对点配送到位，确保食品安全、食材新鲜。供应商预先将相关信息录入“阳光食堂”平台</w:t>
      </w:r>
      <w:r>
        <w:rPr>
          <w:rFonts w:hint="eastAsia"/>
          <w:lang w:eastAsia="zh-CN"/>
        </w:rPr>
        <w:t>，经</w:t>
      </w:r>
      <w:r>
        <w:rPr>
          <w:rFonts w:hint="eastAsia"/>
        </w:rPr>
        <w:t>教育部门审核确认后，按平台预置信息开展配送环节监管。鼓励各地通过车辆北斗或GPS定位、全程对食材进行视频和温度监控等手段，依托农产品冷链物流骨干网等基础设施，加强配送环节有效监管。各地因地制宜制定具体规定。</w:t>
      </w:r>
    </w:p>
    <w:p>
      <w:pPr>
        <w:ind w:firstLine="640"/>
        <w:rPr>
          <w:rFonts w:hint="eastAsia"/>
        </w:rPr>
      </w:pPr>
      <w:r>
        <w:rPr>
          <w:rFonts w:hint="eastAsia"/>
        </w:rPr>
        <w:t>（四）现场验收监管。相关主管部门为学校食材验收提供技术指导并依法依职责进行监管，学校食材验收组须在全程视频监控下验收，并按要求在“阳光食堂”平台填写验收记录、对供应商进行评价。验收时，主要查验食材名称、品牌、规格等级、数量、生产日期、保质期、进货日期是否与合同约定相符，确保不以次充好、不短斤少两、不发霉变质，将验收凭证经全体人员现场签字后上传平台。</w:t>
      </w:r>
    </w:p>
    <w:p>
      <w:pPr>
        <w:ind w:firstLine="640"/>
        <w:rPr>
          <w:rFonts w:hint="eastAsia"/>
        </w:rPr>
      </w:pPr>
      <w:r>
        <w:rPr>
          <w:rFonts w:hint="eastAsia"/>
        </w:rPr>
        <w:t>参加验收人员须在“阳光食堂”平台填写验收记录，对食材质量与数量、供应商配送服务等进行评价。学校党政主要负责同志、总务后勤负责人应经常性检查食材质量和数量，及时发现和督促整改存在问题。教育部门通过在线巡检，定期和随机监管学校食材供货验收情况。学校应在“阳光食堂”平台留存食材验收记录，留存过秤图片和索证索票凭据。</w:t>
      </w:r>
    </w:p>
    <w:p>
      <w:pPr>
        <w:ind w:firstLine="640"/>
        <w:rPr>
          <w:rFonts w:hint="eastAsia"/>
        </w:rPr>
      </w:pPr>
      <w:r>
        <w:rPr>
          <w:rFonts w:hint="eastAsia"/>
        </w:rPr>
        <w:t>在实际供货时，因验收现场退货且原供应商无法临时组织货源的，学校向中小学食材招标工作组提交申请后，由其他中标候选供应商递补供货；或由学校调整食谱就近采购食材，临时采购信息录入</w:t>
      </w:r>
      <w:r>
        <w:rPr>
          <w:rFonts w:hint="eastAsia"/>
          <w:lang w:eastAsia="zh-CN"/>
        </w:rPr>
        <w:t>“</w:t>
      </w:r>
      <w:r>
        <w:rPr>
          <w:rFonts w:hint="eastAsia"/>
          <w:lang w:val="en-US" w:eastAsia="zh-CN"/>
        </w:rPr>
        <w:t>阳光食堂</w:t>
      </w:r>
      <w:r>
        <w:rPr>
          <w:rFonts w:hint="eastAsia"/>
          <w:lang w:eastAsia="zh-CN"/>
        </w:rPr>
        <w:t>”</w:t>
      </w:r>
      <w:r>
        <w:rPr>
          <w:rFonts w:hint="eastAsia"/>
        </w:rPr>
        <w:t>平台。</w:t>
      </w:r>
    </w:p>
    <w:p>
      <w:pPr>
        <w:ind w:firstLine="640"/>
        <w:rPr>
          <w:rFonts w:hint="eastAsia"/>
        </w:rPr>
      </w:pPr>
      <w:r>
        <w:rPr>
          <w:rFonts w:hint="eastAsia"/>
        </w:rPr>
        <w:t>（五）食材出入库管理监管。学校食堂管理人员在“阳光食堂”平台登记验收后的食材，将食材分类分架、离墙离地规范存储、防潮防虫。食材出库按照“先进、先出、先用”原则，并须规范登记，零库存食材同样须在“阳光食堂”平台进行出入库登记。每月末，学校组织食堂对库存进行盘点。教育部门对主辅食材成本占比、生均食材用量等异常的可通过在线巡检、现场查验等方式核实出入库情况。</w:t>
      </w:r>
    </w:p>
    <w:p>
      <w:pPr>
        <w:ind w:firstLine="640"/>
      </w:pPr>
      <w:r>
        <w:rPr>
          <w:rFonts w:hint="eastAsia"/>
        </w:rPr>
        <w:t>（六）供应商信用评价监管。学校食材验收组通过“阳光食堂”平台对供应商履约情况进行日常记录和信用评价，评价结果作为下一周期招标采购综合评分的重要依据。</w:t>
      </w:r>
      <w:r>
        <w:rPr>
          <w:rFonts w:hint="eastAsia"/>
          <w:lang w:eastAsia="zh-CN"/>
        </w:rPr>
        <w:t>触发负面清单</w:t>
      </w:r>
      <w:r>
        <w:rPr>
          <w:rFonts w:hint="eastAsia"/>
        </w:rPr>
        <w:t>的，由学校按合同进行处理；</w:t>
      </w:r>
      <w:r>
        <w:rPr>
          <w:rFonts w:hint="eastAsia"/>
          <w:lang w:eastAsia="zh-CN"/>
        </w:rPr>
        <w:t>触发退出机制</w:t>
      </w:r>
      <w:r>
        <w:rPr>
          <w:rFonts w:hint="eastAsia"/>
        </w:rPr>
        <w:t>相关内容的，</w:t>
      </w:r>
      <w:r>
        <w:rPr>
          <w:rFonts w:hint="eastAsia"/>
          <w:lang w:val="en-US" w:eastAsia="zh-CN"/>
        </w:rPr>
        <w:t>经</w:t>
      </w:r>
      <w:r>
        <w:rPr>
          <w:rFonts w:hint="eastAsia"/>
        </w:rPr>
        <w:t>中小学食材招标工作组核实后终止</w:t>
      </w:r>
      <w:r>
        <w:rPr>
          <w:rFonts w:hint="eastAsia"/>
          <w:lang w:val="en-US" w:eastAsia="zh-CN"/>
        </w:rPr>
        <w:t>合同</w:t>
      </w:r>
      <w:r>
        <w:rPr>
          <w:rFonts w:hint="eastAsia"/>
        </w:rPr>
        <w:t>，由其他中标候选供应商递补供货。中小学食材招标工作组应根据供应商违规情形建立供应商信用目录。</w:t>
      </w:r>
    </w:p>
    <w:p>
      <w:pPr>
        <w:ind w:firstLine="640"/>
      </w:pPr>
      <w:r>
        <w:rPr>
          <w:rStyle w:val="54"/>
          <w:rFonts w:hint="eastAsia"/>
        </w:rPr>
        <w:t>第十八条</w:t>
      </w:r>
      <w:r>
        <w:rPr>
          <w:rFonts w:hint="eastAsia"/>
        </w:rPr>
        <w:t xml:space="preserve">  校外供餐监管。中小学食材招标工作组应当遵循公开、公平、公正原则，严格按照程序统一组织公开招标。招标工作应邀请学校管理人员及家长代表对招标过程进行监督，并委托公证机构对招标过程进行公证，中标校外供餐单位名单应向社会公布。校外供餐单位的招标工作，由中小学食材招标工作组于每年6月，公开招标确定下一周期有资质的供餐单位。中小学食材招标工作组组织管理人员和家长志愿者对供餐单位进行现场考察，评价确定校外供餐单位。学校与供餐单位签订合同，应明确供餐标准、配送要求和供餐工作负面清单、考核评价机制等。中标供餐单位应数量适中，既有充分竞争，也能形成规模效应。</w:t>
      </w:r>
    </w:p>
    <w:p>
      <w:pPr>
        <w:ind w:firstLine="640"/>
      </w:pPr>
      <w:r>
        <w:rPr>
          <w:rFonts w:hint="eastAsia"/>
        </w:rPr>
        <w:t>日常供餐时，学校食材验收组随机抽检校外供餐单位提供的食品，对校外供餐单位定期进行评价，重点考核餐饮温度、份量、卫生、品质、色泽、口味和餐具安全及清洁度等情况，确保食品从打包到学生用餐不超过2小时。学校应当安排专人负责配餐食品的查验和分发，对配餐食品按规定留样，并做好各项记录。学校应当落实集中用餐陪餐制度，每餐均应有相关负责人与学生共同用餐，做好陪餐记录，及时反馈和解决陪餐过程中发现的问题。学校应当建立健全分餐管理制度，在教室分餐的，应当保障就餐环境整洁卫生，提醒学生做好餐前手部清洁。学校应当建立校外供餐单位评价和退出机制，对落实食品安全主体责任不到位、发生食品安全事故的校外供餐单位，要及时终止合同（或协议），报告属地市场监管、教育等部门。学校应当建立集中用餐食品安全应急管理和突发事故报告制度，制定食品安全事故处置方案。发生集中用餐食品安全事故或者疑似食品安全事故时，应当立即按食品安全事故处置方案采取相应措施。</w:t>
      </w:r>
    </w:p>
    <w:p>
      <w:pPr>
        <w:ind w:firstLine="640"/>
      </w:pPr>
      <w:r>
        <w:rPr>
          <w:rFonts w:hint="eastAsia"/>
        </w:rPr>
        <w:t>学校应当利用“阳光食堂”平台、公共信息平台等方式及时向师生、家长、社会公开供餐单位信息，组织家长代表对供餐单位进行抽查走访，鼓励师生、家长、社会共同参与学校校外供餐的监督和管理。学校应当建立家长陪餐制度，对陪餐家长提出的食品安全与营养健康等方面的意见和建议，及时研究反馈。</w:t>
      </w:r>
    </w:p>
    <w:p>
      <w:pPr>
        <w:ind w:firstLine="640"/>
      </w:pPr>
      <w:r>
        <w:rPr>
          <w:rFonts w:hint="eastAsia"/>
        </w:rPr>
        <w:t>市场监管、卫生健康等部门依法依职责对校外供餐单位进行监管。教育部门应当配合市场监管、卫生健康、公安等相关部门，加大对校外供餐单位监督检查的力度和频次。教育部门每学期应当联合市场监管等相关部门，对属地内的学校开展校外供餐管理工作专项检查，督促指导学校落实食品安全主体责任。教育部门应当会同市场监管、卫生健康和公安等相关部门，建立健全校外供餐管理沟通协调机制，形成监管合力，严防发生重大食品安全事故。学校依法依合同对校外供餐单位进行监督，推动其保证食品安全优秀等级和高效安全服务。相关监管信息在“阳光食堂”平台予以保留，作为评价校外供餐单位、记录服务分值的重要依据。</w:t>
      </w:r>
    </w:p>
    <w:p>
      <w:pPr>
        <w:pStyle w:val="52"/>
        <w:spacing w:before="526" w:after="351"/>
        <w:rPr>
          <w:rFonts w:hint="default"/>
        </w:rPr>
      </w:pPr>
      <w:r>
        <w:t>第六章</w:t>
      </w:r>
      <w:r>
        <w:rPr>
          <w:rFonts w:hint="default"/>
        </w:rPr>
        <w:t xml:space="preserve">  </w:t>
      </w:r>
      <w:r>
        <w:t>食堂安全管理监管</w:t>
      </w:r>
    </w:p>
    <w:p>
      <w:pPr>
        <w:ind w:firstLine="640"/>
        <w:rPr>
          <w:rFonts w:hint="eastAsia"/>
        </w:rPr>
      </w:pPr>
      <w:r>
        <w:rPr>
          <w:rStyle w:val="54"/>
          <w:rFonts w:hint="eastAsia"/>
        </w:rPr>
        <w:t>第十九条</w:t>
      </w:r>
      <w:r>
        <w:rPr>
          <w:rFonts w:hint="eastAsia"/>
        </w:rPr>
        <w:t xml:space="preserve">  食品安全责任制监管。学校严格落实食品安全党政主要负责同志负责制，学校食堂须取得《食品经营许可证》并向属地教育、市场监管部门备案后方可供餐。</w:t>
      </w:r>
    </w:p>
    <w:p>
      <w:pPr>
        <w:ind w:firstLine="640"/>
        <w:rPr>
          <w:rFonts w:hint="eastAsia"/>
        </w:rPr>
      </w:pPr>
      <w:r>
        <w:rPr>
          <w:rFonts w:hint="eastAsia"/>
        </w:rPr>
        <w:t>（一）食品安全制度建设。学校应将食品安全作为年度重点工作抓细抓实，建立健全管理制度，认真落实工作要求，定期组织开展食品安全隐患排查整治。建立健全食品安全岗位责任制，明确分管校领导、总务后勤部门负责人、食堂负责人职责，按要求配备食品安全总监、食品安全员等，层层落实食品安全责任，定期组织学习培训、开展考核。</w:t>
      </w:r>
    </w:p>
    <w:p>
      <w:pPr>
        <w:ind w:firstLine="640"/>
        <w:rPr>
          <w:rFonts w:hint="eastAsia"/>
        </w:rPr>
      </w:pPr>
      <w:r>
        <w:rPr>
          <w:rFonts w:hint="eastAsia"/>
        </w:rPr>
        <w:t>（二）食堂食品安全考核。依法依规依合同管理和考核参与食堂工作的各类市场主体，确保食品采购、供应、贮存、加工、售卖等各个环节符合食品安全规定。建立食品安全台账，加强应急演练，提高防范和处置能力，按照“早发现、早报告、早控制、早处理”的原则处置食品安全事故。严格落实有害生物防制制度，配齐配全有害生物防制设备设施，鼓励运用AI抓拍等先进技术手段防制鼠类等有害生物。</w:t>
      </w:r>
    </w:p>
    <w:p>
      <w:pPr>
        <w:ind w:firstLine="640"/>
        <w:rPr>
          <w:rFonts w:hint="eastAsia"/>
        </w:rPr>
      </w:pPr>
      <w:r>
        <w:rPr>
          <w:rFonts w:hint="eastAsia"/>
        </w:rPr>
        <w:t>（三）食堂安全保卫。强化学校食堂安全保卫，严防不法分子纵火、盗窃、投毒等危及食堂安全的行为。定期检查和排除水电气等设施设备安全隐患，严格按规定处理餐厨废弃物。</w:t>
      </w:r>
    </w:p>
    <w:p>
      <w:pPr>
        <w:ind w:firstLine="640"/>
        <w:rPr>
          <w:rStyle w:val="54"/>
        </w:rPr>
      </w:pPr>
      <w:r>
        <w:rPr>
          <w:rFonts w:hint="eastAsia"/>
        </w:rPr>
        <w:t>（四）防范安全风险。鼓励学校投保与供餐人数相匹配的食品安全责任险。鼓励有条件的学校每月检验检测食材、餐具、配送装具、送货车辆等食品安全情况，发现问题的，由食品安全员监督</w:t>
      </w:r>
      <w:r>
        <w:rPr>
          <w:rFonts w:hint="eastAsia"/>
          <w:lang w:eastAsia="zh-CN"/>
        </w:rPr>
        <w:t>及时</w:t>
      </w:r>
      <w:r>
        <w:rPr>
          <w:rFonts w:hint="eastAsia"/>
        </w:rPr>
        <w:t>整改。教育部门应及时向市场监管部门了解学校食品安全相关信息；对学校食堂食品安全管理人员进行抽查考核，指导学校做好食品安全管理和宣传教育。中小学应主动接受属地市场监管、公安、教育、卫生健康等部门对食堂食品安全的指导和监督。</w:t>
      </w:r>
    </w:p>
    <w:p>
      <w:pPr>
        <w:ind w:firstLine="640"/>
        <w:rPr>
          <w:rFonts w:ascii="楷体" w:hAnsi="楷体" w:eastAsia="楷体" w:cs="楷体"/>
        </w:rPr>
      </w:pPr>
      <w:r>
        <w:rPr>
          <w:rStyle w:val="54"/>
          <w:rFonts w:hint="eastAsia"/>
        </w:rPr>
        <w:t>第二十条</w:t>
      </w:r>
      <w:r>
        <w:rPr>
          <w:rFonts w:hint="eastAsia"/>
        </w:rPr>
        <w:t xml:space="preserve">  食品安全追溯与食品留样监管。学校食堂应建立食品安全追溯体系，采用“阳光食堂”平台等信息化手段，如实、准确、完整记录并保存食品进货查验等信息，确保可追溯。建立健全食品采购索证索票制度，查验、索取并留存供应商的检疫检验证明、产品合格证明、发货清单等材料。完善食品查验制度，严格查验食品生产日期、保质期、外包装、新鲜度等，严格管理和使用食品添加剂，严禁采购和使用法律法规禁止的食品，填写详细查验记录。对每餐次加工制作的每种食品成品进行留样，每个品种留样量不得少于125克，由专柜冷藏保存48小时，温度控制在0-8℃范围内，记录留样食品名称、留样量、留样时间、留样人员等，并在“阳光食堂”平台建立留样电子记录，永久备查。</w:t>
      </w:r>
    </w:p>
    <w:p>
      <w:pPr>
        <w:ind w:firstLine="640"/>
      </w:pPr>
      <w:r>
        <w:rPr>
          <w:rStyle w:val="54"/>
          <w:rFonts w:hint="eastAsia"/>
        </w:rPr>
        <w:t>第二十一条</w:t>
      </w:r>
      <w:r>
        <w:rPr>
          <w:rFonts w:hint="eastAsia"/>
        </w:rPr>
        <w:t xml:space="preserve">  食堂库存管理。学校食堂应建立出入库管理制度，由专人负责食材入库与出库。</w:t>
      </w:r>
    </w:p>
    <w:p>
      <w:pPr>
        <w:ind w:firstLine="640"/>
        <w:rPr>
          <w:rFonts w:hint="eastAsia"/>
        </w:rPr>
      </w:pPr>
      <w:r>
        <w:rPr>
          <w:rFonts w:hint="eastAsia"/>
        </w:rPr>
        <w:t>（一）入库与出库监管。严格检查验收，确保食材规格质量和数量符合规定，杜绝质次、变质、过期食材出入库，完备入库、验收、保管、出库手续，确保入库食材的各类信息完整准确。建立库存盘点制度，定期开展盘点工作，确保物、据、账、表相符，并形成盘点记录。</w:t>
      </w:r>
    </w:p>
    <w:p>
      <w:pPr>
        <w:ind w:firstLine="640"/>
      </w:pPr>
      <w:r>
        <w:rPr>
          <w:rFonts w:hint="eastAsia"/>
        </w:rPr>
        <w:t>（二）库房管理监管。食材库房由专人负责管理，根据日常消耗合理确定库存，遵循“按需采购、先进先出”的原则安排食材出库，根据贮存需要设置符合食品安全所需温度、湿度的库房，库房应配置良好的通风、防潮、防霉、防虫鼠蝇等设施设备，设置符合食品安全所需的温度、湿度，分类分架、离墙离地存放食品及原材料、半成品、成品，并分不同区域。食材冷藏环境温度应控制在0℃～8℃，冷冻温度应低于－12℃；冷藏食品表面温度与标签标识的温度要求不得超过+3℃，冷冻食品表面温度不宜高于－9℃。用于保存食品的冷藏冷冻设备应贴有标识，原料、半成品和成品应分柜存放，严禁用非食品级包装物或盛装容器贮存散装食品。食品和非食品库房应分设，食品库房不得存放有毒有害物品、个人物品和杂物。按规定及时清理销毁变质和过期食品，并办理销毁监督手续。</w:t>
      </w:r>
    </w:p>
    <w:p>
      <w:pPr>
        <w:ind w:firstLine="640"/>
      </w:pPr>
      <w:r>
        <w:rPr>
          <w:rStyle w:val="54"/>
          <w:rFonts w:hint="eastAsia"/>
        </w:rPr>
        <w:t>第二十二条</w:t>
      </w:r>
      <w:r>
        <w:rPr>
          <w:rFonts w:hint="eastAsia"/>
        </w:rPr>
        <w:t xml:space="preserve">  加工备餐供餐监管。学校食堂应严格按照规范标准加工食品，必须采用新鲜安全的原料制作食品。生鲜食材和解冻食品清洗、烹饪前，要由食品安全员对是否具有正常感官性状进行检查并记录，不得将回收后的食品再次加工销售。严格按照规定使用食品添加剂，需要熟制烹饪的食品应烧熟煮透，烹饪后的熟制品、半成品与食品原料应分开存放，食品不得接触有毒物、不洁物。不得加工或使用腐败变质和感官性状异常的食品及原料，不得使用和加工法律法规等禁止生产经营的食材与食品。</w:t>
      </w:r>
    </w:p>
    <w:p>
      <w:pPr>
        <w:ind w:firstLine="640"/>
      </w:pPr>
      <w:r>
        <w:rPr>
          <w:rFonts w:hint="eastAsia"/>
        </w:rPr>
        <w:t>食品加工结束后要及时清理加工场所，做到地面无污物、残渣，食品加工设备、用具、盛放直接入口食品的容器、餐具等在使用前后应当洗净并消毒，加工制作和存放食品的容器和工具按标识区分使用。供餐实施分餐制度，按规定温度和时间配送食品，餐具须符合质量和环保标准，不得使用未经清洗和消毒的餐具。</w:t>
      </w:r>
    </w:p>
    <w:p>
      <w:pPr>
        <w:ind w:firstLine="640"/>
      </w:pPr>
      <w:r>
        <w:rPr>
          <w:rFonts w:hint="eastAsia"/>
        </w:rPr>
        <w:t>学校应在供餐合同中约定备餐和供餐的具体要求，应保持食品新鲜、无异味，不得反复加热，不得发生感官性状变化。在烹饪后至食用前需要较长时间存放的食品，温度应控制在8℃～60℃范围；在此条件下存放超过</w:t>
      </w:r>
      <w:r>
        <w:t>2</w:t>
      </w:r>
      <w:r>
        <w:rPr>
          <w:rFonts w:hint="eastAsia"/>
        </w:rPr>
        <w:t>小时，且未发生感官性状变化的，食用前应进行再加热，再加热时食品的中心温度应达到70℃以上。</w:t>
      </w:r>
    </w:p>
    <w:p>
      <w:pPr>
        <w:ind w:firstLine="640"/>
      </w:pPr>
      <w:r>
        <w:rPr>
          <w:rFonts w:hint="eastAsia"/>
        </w:rPr>
        <w:t>学校食堂应使用“互联网+明厨亮灶”等信息系统监管食品生产过程。</w:t>
      </w:r>
    </w:p>
    <w:p>
      <w:pPr>
        <w:pStyle w:val="52"/>
        <w:spacing w:before="526" w:after="351"/>
        <w:rPr>
          <w:rFonts w:hint="default"/>
        </w:rPr>
      </w:pPr>
      <w:r>
        <w:t>第七章</w:t>
      </w:r>
      <w:r>
        <w:rPr>
          <w:rFonts w:hint="default"/>
        </w:rPr>
        <w:t xml:space="preserve">  </w:t>
      </w:r>
      <w:r>
        <w:t>食堂运营质量监管</w:t>
      </w:r>
    </w:p>
    <w:p>
      <w:pPr>
        <w:ind w:firstLine="640"/>
      </w:pPr>
      <w:r>
        <w:rPr>
          <w:rStyle w:val="54"/>
          <w:rFonts w:hint="eastAsia"/>
        </w:rPr>
        <w:t>第二十三条</w:t>
      </w:r>
      <w:r>
        <w:rPr>
          <w:rFonts w:hint="eastAsia"/>
        </w:rPr>
        <w:t xml:space="preserve">  食堂家长群众管理监管。学校应在食堂设立校领导信箱，畅通信息反馈渠道，接受就餐师生、食堂员工对食堂管理方面的意见建议和投诉举报，并定期公布处理情况。建立健全师生和家长参与监管制度，邀请家长志愿者对食堂管理、招标采购、食材验收、膳食营养、饭菜定价调价、满意度等重大事项进行监督，运用“阳光食堂”平台定期调查学生和家长对食堂的满意度，受理投诉举报和意见建议。</w:t>
      </w:r>
    </w:p>
    <w:p>
      <w:pPr>
        <w:ind w:firstLine="640"/>
      </w:pPr>
      <w:r>
        <w:rPr>
          <w:rStyle w:val="54"/>
          <w:rFonts w:hint="eastAsia"/>
        </w:rPr>
        <w:t>第二十四条</w:t>
      </w:r>
      <w:r>
        <w:rPr>
          <w:rFonts w:hint="eastAsia"/>
        </w:rPr>
        <w:t xml:space="preserve">  陪餐监管。学校食堂应建立校领导陪餐制度和家长陪餐制度，制定陪餐计划，明确陪餐人员和要求，做好陪餐记录。每天均应有学校相关负责人陪餐，家长志愿者在学校统一组织下参加学校食堂陪餐。“阳光食堂”平台管理员及时将陪餐人员信息录入平台，每周家长陪餐次数和人数由各校结合实际确定。</w:t>
      </w:r>
    </w:p>
    <w:p>
      <w:pPr>
        <w:ind w:firstLine="640"/>
      </w:pPr>
      <w:r>
        <w:rPr>
          <w:rFonts w:hint="eastAsia"/>
        </w:rPr>
        <w:t>除幼儿园外，校内外陪餐人员按照与学生用餐同餐、同量的原则，与学生一起排队、在同区域就餐，陪餐人员应付费就餐。幼儿园的陪餐办法，由各地教育部门予以明确。</w:t>
      </w:r>
    </w:p>
    <w:p>
      <w:pPr>
        <w:ind w:firstLine="640"/>
        <w:rPr>
          <w:rStyle w:val="54"/>
        </w:rPr>
      </w:pPr>
      <w:r>
        <w:rPr>
          <w:rFonts w:hint="eastAsia"/>
        </w:rPr>
        <w:t>陪餐人员应在“阳光食堂”平台填写陪餐记录，对食品质量和食堂服务进行评价，对食堂工作提出意见建议。</w:t>
      </w:r>
    </w:p>
    <w:p>
      <w:pPr>
        <w:ind w:firstLine="640"/>
      </w:pPr>
      <w:r>
        <w:rPr>
          <w:rStyle w:val="54"/>
          <w:rFonts w:hint="eastAsia"/>
        </w:rPr>
        <w:t>第二十五条</w:t>
      </w:r>
      <w:r>
        <w:rPr>
          <w:rFonts w:hint="eastAsia"/>
        </w:rPr>
        <w:t xml:space="preserve">  信息公开与公示监管。学校应建立集中用餐信息公开制度，利用“阳光食堂”平台、校园网等方式及时向师生和家长公开食堂财务收支、食材采购、带量食谱、对食堂运维单位和校外供餐单位考核评价等信息。学校应在食堂显著位置公示食品经营许可证、从业人员的健康证明，按要求开展从业人员健康状况和个人卫生检查。</w:t>
      </w:r>
    </w:p>
    <w:p>
      <w:pPr>
        <w:ind w:firstLine="640"/>
      </w:pPr>
      <w:r>
        <w:rPr>
          <w:rStyle w:val="54"/>
          <w:rFonts w:hint="eastAsia"/>
        </w:rPr>
        <w:t>第二十六条</w:t>
      </w:r>
      <w:r>
        <w:rPr>
          <w:rFonts w:hint="eastAsia"/>
        </w:rPr>
        <w:t xml:space="preserve">  食堂人员管理监管。学校应选派懂业务、善管理、责任心强的干部管理食堂，合理设置食堂岗位、配备工作人员，明确岗位职责及上岗资格，所有人员信息及时同步更新至“阳光食堂”平台接受监管。定期组织食堂人员开展食品安全知识、营养配餐、消防、安全生产、职业道德与法治、食品加工工艺等教育培训，为食堂配备必要的安全监测、检测设备。食堂人员应提高技能水平和岗位适配度，养成良好的个人卫生习惯，认真参加每日晨检，不得带病上岗，加工操作直接入口食品前应洗手消毒、戴好口罩和一次性手套，进入工作岗位前应穿戴清洁的工作衣帽，不得有在食堂内吸烟等行为。各地教育部门应协同公安、卫生健康、市场监管等部门对学校食堂人员进行背景审查、健康管理、职业道德和法制教育，学校发现有不良思想倾向及行为、精神异常等现象的，应立即调离工作岗位。</w:t>
      </w:r>
    </w:p>
    <w:p>
      <w:pPr>
        <w:ind w:firstLine="640"/>
      </w:pPr>
      <w:r>
        <w:rPr>
          <w:rStyle w:val="54"/>
          <w:rFonts w:hint="eastAsia"/>
        </w:rPr>
        <w:t>第二十七条</w:t>
      </w:r>
      <w:r>
        <w:rPr>
          <w:rFonts w:hint="eastAsia"/>
        </w:rPr>
        <w:t xml:space="preserve">  食堂营养膳食与文化建设监管。学校应</w:t>
      </w:r>
      <w:r>
        <w:rPr>
          <w:rFonts w:hint="eastAsia"/>
          <w:lang w:eastAsia="zh-CN"/>
        </w:rPr>
        <w:t>组织</w:t>
      </w:r>
      <w:r>
        <w:rPr>
          <w:rFonts w:hint="eastAsia"/>
        </w:rPr>
        <w:t>师生、家长代表、营养专家、学校负责人和相关管理人员，共同开展营养膳食与文化建设。</w:t>
      </w:r>
    </w:p>
    <w:p>
      <w:pPr>
        <w:ind w:firstLine="640"/>
        <w:rPr>
          <w:rFonts w:hint="eastAsia"/>
        </w:rPr>
      </w:pPr>
      <w:r>
        <w:rPr>
          <w:rFonts w:hint="eastAsia"/>
        </w:rPr>
        <w:t>（一）食堂配餐营养。有条件的学校可配备专（兼）职营养师，根据不同年龄段学生的身体特点和营养需求，结合当地饮食习惯，参照有关营养标准，优化配餐方案，用好“阳光食堂”平台提供的营养菜单，制定每周带量营养食谱并公布执行。</w:t>
      </w:r>
    </w:p>
    <w:p>
      <w:pPr>
        <w:ind w:firstLine="640"/>
        <w:rPr>
          <w:rFonts w:hint="eastAsia"/>
        </w:rPr>
      </w:pPr>
      <w:r>
        <w:rPr>
          <w:rFonts w:hint="eastAsia"/>
        </w:rPr>
        <w:t>（二）健康饮食教育。学校应开展传承中华优秀传统饮食文化教育，培养学生不偏食、不挑食的健康饮食习惯，自觉抵制垃圾食品和不良饮食行为。</w:t>
      </w:r>
    </w:p>
    <w:p>
      <w:pPr>
        <w:ind w:firstLine="640"/>
        <w:rPr>
          <w:rFonts w:hint="eastAsia"/>
        </w:rPr>
      </w:pPr>
      <w:r>
        <w:rPr>
          <w:rFonts w:hint="eastAsia"/>
        </w:rPr>
        <w:t>（三）优质食材选用。各地要用好“阳光食堂”平台提供的营养菜谱，指导学校开展营养配餐工作，鼓励广泛选用本土化食材和应季食材。</w:t>
      </w:r>
    </w:p>
    <w:p>
      <w:pPr>
        <w:ind w:firstLine="640"/>
        <w:rPr>
          <w:rFonts w:hint="eastAsia"/>
        </w:rPr>
      </w:pPr>
      <w:r>
        <w:rPr>
          <w:rFonts w:hint="eastAsia"/>
        </w:rPr>
        <w:t>（四）优化烹饪加工。学校食堂要不断改进烹饪工艺，减少营养流失，关注师生口味需求，提供多样化、营养均衡的菜品。</w:t>
      </w:r>
    </w:p>
    <w:p>
      <w:pPr>
        <w:ind w:firstLine="640"/>
        <w:rPr>
          <w:rFonts w:hint="eastAsia"/>
        </w:rPr>
      </w:pPr>
      <w:r>
        <w:rPr>
          <w:rFonts w:hint="eastAsia"/>
        </w:rPr>
        <w:t>（五）食粮节约管理。学校食堂要严格落实反食品浪费法律法规规定，鼓励采取小份菜、半份菜、自助餐等方式，持续开展校园餐桌“光盘行动”，引导培养勤俭节约的良好习惯。</w:t>
      </w:r>
    </w:p>
    <w:p>
      <w:pPr>
        <w:ind w:firstLine="640"/>
      </w:pPr>
      <w:r>
        <w:rPr>
          <w:rFonts w:hint="eastAsia"/>
        </w:rPr>
        <w:t>（六）食堂育人机制。学校要将食堂作为德育、劳动教育的重要阵地，开展传承中华优秀传统饮食文化教育，持续开展反餐饮浪费教育，指导学生有序参与集体分餐、餐具回收、垃圾分类、清洁打扫和用餐秩序维护等劳动实践活动，形成友爱互助、热爱劳动的好氛围。</w:t>
      </w:r>
    </w:p>
    <w:p>
      <w:pPr>
        <w:pStyle w:val="52"/>
        <w:spacing w:before="526" w:after="351"/>
        <w:rPr>
          <w:rFonts w:hint="default"/>
        </w:rPr>
      </w:pPr>
      <w:r>
        <w:t>第八章</w:t>
      </w:r>
      <w:r>
        <w:rPr>
          <w:rFonts w:hint="default"/>
        </w:rPr>
        <w:t xml:space="preserve">  </w:t>
      </w:r>
      <w:r>
        <w:t>监测预警与满意度</w:t>
      </w:r>
    </w:p>
    <w:p>
      <w:pPr>
        <w:ind w:firstLine="640"/>
      </w:pPr>
      <w:r>
        <w:rPr>
          <w:rStyle w:val="54"/>
          <w:rFonts w:hint="eastAsia"/>
        </w:rPr>
        <w:t>第二十八条</w:t>
      </w:r>
      <w:r>
        <w:t xml:space="preserve">  </w:t>
      </w:r>
      <w:r>
        <w:rPr>
          <w:rFonts w:hint="eastAsia"/>
        </w:rPr>
        <w:t>预警与提示信息。“阳光食堂”平台通过发布预警，加强对学校食堂运营成本、食材价格、食品安全、人员管理、合同履约的全</w:t>
      </w:r>
      <w:r>
        <w:rPr>
          <w:rFonts w:hint="eastAsia"/>
          <w:lang w:eastAsia="zh-CN"/>
        </w:rPr>
        <w:t>流程</w:t>
      </w:r>
      <w:r>
        <w:rPr>
          <w:rFonts w:hint="eastAsia"/>
        </w:rPr>
        <w:t>监管，维护广大学生权益；通过发布提示，加</w:t>
      </w:r>
      <w:r>
        <w:rPr>
          <w:rFonts w:hint="eastAsia"/>
          <w:lang w:eastAsia="zh-CN"/>
        </w:rPr>
        <w:t>强</w:t>
      </w:r>
      <w:r>
        <w:rPr>
          <w:rFonts w:hint="eastAsia"/>
          <w:lang w:val="en-US" w:eastAsia="zh-CN"/>
        </w:rPr>
        <w:t>对</w:t>
      </w:r>
      <w:r>
        <w:rPr>
          <w:rFonts w:hint="eastAsia"/>
        </w:rPr>
        <w:t>学校食堂规范运营管理的监督。</w:t>
      </w:r>
    </w:p>
    <w:p>
      <w:pPr>
        <w:ind w:firstLine="640"/>
      </w:pPr>
      <w:r>
        <w:rPr>
          <w:rFonts w:hint="eastAsia"/>
        </w:rPr>
        <w:t>每月12日，“阳光食堂”平台形成上月食堂主辅食材成本占比、人工占比、食材均价、伙食费标准、食品逾期、人员健康证明、合同有效期等信息，对不合理数据发布预警与提示，食堂和学校管理人员应在1周内核查并作出处理，在平台提交处理情况说明，消除预警。逾期未处理的，平台向教育部门发布预警，教育部门工作人员应及时督促学校在1周内作出处理。</w:t>
      </w:r>
    </w:p>
    <w:p>
      <w:pPr>
        <w:ind w:firstLine="640"/>
      </w:pPr>
      <w:r>
        <w:rPr>
          <w:rFonts w:hint="eastAsia"/>
        </w:rPr>
        <w:t>教育部门应加强对平台预警和提示较多的学校食堂开展监督检查。</w:t>
      </w:r>
    </w:p>
    <w:p>
      <w:pPr>
        <w:ind w:firstLine="640"/>
      </w:pPr>
      <w:r>
        <w:rPr>
          <w:rStyle w:val="54"/>
          <w:rFonts w:hint="eastAsia"/>
        </w:rPr>
        <w:t xml:space="preserve">第二十九条  </w:t>
      </w:r>
      <w:r>
        <w:rPr>
          <w:rFonts w:hint="eastAsia"/>
        </w:rPr>
        <w:t>满意度与投诉。“阳光食堂”平台提供家长参与学校食堂满意度调查、实名投诉食堂存在问题功能。</w:t>
      </w:r>
    </w:p>
    <w:p>
      <w:pPr>
        <w:ind w:firstLine="640"/>
        <w:rPr>
          <w:rFonts w:hint="eastAsia"/>
        </w:rPr>
      </w:pPr>
      <w:r>
        <w:rPr>
          <w:rFonts w:hint="eastAsia"/>
        </w:rPr>
        <w:t>（一）满意度调查。</w:t>
      </w:r>
      <w:r>
        <w:rPr>
          <w:rFonts w:hint="eastAsia"/>
          <w:lang w:val="en-US" w:eastAsia="zh-CN"/>
        </w:rPr>
        <w:t>教育部门</w:t>
      </w:r>
      <w:r>
        <w:rPr>
          <w:rFonts w:hint="eastAsia"/>
        </w:rPr>
        <w:t>可通过“阳光食堂”平台</w:t>
      </w:r>
      <w:r>
        <w:rPr>
          <w:rFonts w:hint="eastAsia"/>
          <w:lang w:val="en-US" w:eastAsia="zh-CN"/>
        </w:rPr>
        <w:t>根据</w:t>
      </w:r>
      <w:r>
        <w:rPr>
          <w:rFonts w:hint="eastAsia"/>
        </w:rPr>
        <w:t>食堂餐饮质量</w:t>
      </w:r>
      <w:r>
        <w:rPr>
          <w:rFonts w:hint="eastAsia"/>
          <w:lang w:eastAsia="zh-CN"/>
        </w:rPr>
        <w:t>、</w:t>
      </w:r>
      <w:r>
        <w:rPr>
          <w:rFonts w:hint="eastAsia"/>
        </w:rPr>
        <w:t>价格、环境卫生、口味、营养、服务等</w:t>
      </w:r>
      <w:r>
        <w:rPr>
          <w:rFonts w:hint="eastAsia"/>
          <w:lang w:val="en-US" w:eastAsia="zh-CN"/>
        </w:rPr>
        <w:t>内容每月发布问卷调查表。</w:t>
      </w:r>
      <w:r>
        <w:rPr>
          <w:rFonts w:hint="eastAsia"/>
        </w:rPr>
        <w:t>家长</w:t>
      </w:r>
      <w:r>
        <w:rPr>
          <w:rFonts w:hint="eastAsia"/>
          <w:lang w:val="en-US" w:eastAsia="zh-CN"/>
        </w:rPr>
        <w:t>可</w:t>
      </w:r>
      <w:r>
        <w:rPr>
          <w:rFonts w:hint="eastAsia"/>
        </w:rPr>
        <w:t>以匿名方式</w:t>
      </w:r>
      <w:r>
        <w:rPr>
          <w:rFonts w:hint="eastAsia"/>
          <w:lang w:val="en-US" w:eastAsia="zh-CN"/>
        </w:rPr>
        <w:t>选择学生所在</w:t>
      </w:r>
      <w:r>
        <w:rPr>
          <w:rFonts w:hint="eastAsia"/>
        </w:rPr>
        <w:t>学校</w:t>
      </w:r>
      <w:r>
        <w:rPr>
          <w:rFonts w:hint="eastAsia"/>
          <w:lang w:val="en-US" w:eastAsia="zh-CN"/>
        </w:rPr>
        <w:t>对问卷内容进行回答</w:t>
      </w:r>
      <w:r>
        <w:rPr>
          <w:rFonts w:hint="eastAsia"/>
        </w:rPr>
        <w:t>，平台定期生成满意度调查结</w:t>
      </w:r>
      <w:r>
        <w:rPr>
          <w:rFonts w:hint="eastAsia"/>
          <w:lang w:val="en-US" w:eastAsia="zh-CN"/>
        </w:rPr>
        <w:t>果</w:t>
      </w:r>
      <w:r>
        <w:rPr>
          <w:rFonts w:hint="eastAsia"/>
        </w:rPr>
        <w:t>。</w:t>
      </w:r>
      <w:r>
        <w:rPr>
          <w:rFonts w:hint="eastAsia"/>
          <w:lang w:val="en-US" w:eastAsia="zh-CN"/>
        </w:rPr>
        <w:t>教育部门和学校</w:t>
      </w:r>
      <w:r>
        <w:rPr>
          <w:rFonts w:hint="eastAsia"/>
        </w:rPr>
        <w:t>应高度重视家长满意度调查情况</w:t>
      </w:r>
      <w:r>
        <w:rPr>
          <w:rFonts w:hint="eastAsia"/>
          <w:lang w:eastAsia="zh-CN"/>
        </w:rPr>
        <w:t>，</w:t>
      </w:r>
      <w:r>
        <w:rPr>
          <w:rFonts w:hint="eastAsia"/>
          <w:lang w:val="en-US" w:eastAsia="zh-CN"/>
        </w:rPr>
        <w:t>学校应</w:t>
      </w:r>
      <w:r>
        <w:rPr>
          <w:rFonts w:hint="eastAsia"/>
        </w:rPr>
        <w:t>及时分析和解决存在问题。</w:t>
      </w:r>
    </w:p>
    <w:p>
      <w:pPr>
        <w:ind w:firstLine="640"/>
      </w:pPr>
      <w:r>
        <w:rPr>
          <w:rFonts w:hint="eastAsia"/>
        </w:rPr>
        <w:t>（二）家长投诉受理。在校就餐的</w:t>
      </w:r>
      <w:r>
        <w:rPr>
          <w:rFonts w:hint="eastAsia"/>
          <w:lang w:eastAsia="zh-CN"/>
        </w:rPr>
        <w:t>学</w:t>
      </w:r>
      <w:r>
        <w:rPr>
          <w:rFonts w:hint="eastAsia"/>
        </w:rPr>
        <w:t>生及其家长可随时通过“阳光食堂”平台对食堂存在问题进行实名投诉，提交相关证据。学校和食堂管理人员应在1周内受理和核实投诉情况，将处理情况在平台中予以记录，家长在平台中对处理情况进行评价。</w:t>
      </w:r>
    </w:p>
    <w:p>
      <w:pPr>
        <w:ind w:firstLine="640"/>
      </w:pPr>
      <w:r>
        <w:rPr>
          <w:rFonts w:hint="eastAsia"/>
        </w:rPr>
        <w:t>学校和食堂应组织专人负责监测食堂满意度、处理投诉事项，定期对监测和处理情况进行分析研判，指导食堂做好服务保障工作。教育部门应加强对满意度持续较低、投诉持续较多的学校食堂开展监督检查。</w:t>
      </w:r>
    </w:p>
    <w:p>
      <w:pPr>
        <w:pStyle w:val="52"/>
        <w:spacing w:before="526" w:after="351"/>
        <w:rPr>
          <w:rFonts w:hint="default"/>
        </w:rPr>
      </w:pPr>
      <w:r>
        <w:t>第九章</w:t>
      </w:r>
      <w:r>
        <w:rPr>
          <w:rFonts w:hint="default"/>
        </w:rPr>
        <w:t xml:space="preserve">  </w:t>
      </w:r>
      <w:r>
        <w:t>学校与市场主体互评</w:t>
      </w:r>
    </w:p>
    <w:p>
      <w:pPr>
        <w:ind w:firstLine="640"/>
      </w:pPr>
      <w:r>
        <w:rPr>
          <w:rStyle w:val="54"/>
          <w:rFonts w:hint="eastAsia"/>
        </w:rPr>
        <w:t>第三十条</w:t>
      </w:r>
      <w:r>
        <w:rPr>
          <w:rFonts w:hint="eastAsia"/>
        </w:rPr>
        <w:t xml:space="preserve">  市场主体退出机制。各级中小学食材招标工作组和学校应在招标文件、合同等文本中明确食堂运营主体、食材供应商、校外供餐单位的责权利。各类市场主体应遵守学校食堂公益性和非营利性的管理要求，依法依规依合同约定开展服务工作。</w:t>
      </w:r>
    </w:p>
    <w:p>
      <w:pPr>
        <w:ind w:firstLine="640"/>
      </w:pPr>
      <w:r>
        <w:rPr>
          <w:rFonts w:hint="eastAsia"/>
        </w:rPr>
        <w:t>学校按规定对市场主体履行合同约定、食品安全与服务质量等进行评价，学生和家长志愿者对服务水平、食品质量、食品安全等进行评价，教育部门协同相关部门对市场主体进行检查并记录。</w:t>
      </w:r>
    </w:p>
    <w:p>
      <w:pPr>
        <w:ind w:firstLine="640"/>
      </w:pPr>
      <w:r>
        <w:rPr>
          <w:rFonts w:hint="eastAsia"/>
        </w:rPr>
        <w:t>“阳光食堂”平台建立学校食堂各类市场主体信用档案，记录市场主体的服务分值，主管部门可通过平台查看市场主体服务分值的扣分情况。市场主体的服务分值与招投标、食材实际竞价综合评分等挂钩。触发负面清单的，由学校按合同进行处理；触发退出机制的，由中小学食材招标工作组核实后终止合同，并根据违规情形建立市场主体信用目录。</w:t>
      </w:r>
    </w:p>
    <w:p>
      <w:pPr>
        <w:ind w:firstLine="640"/>
      </w:pPr>
      <w:r>
        <w:rPr>
          <w:rStyle w:val="54"/>
          <w:rFonts w:hint="eastAsia"/>
        </w:rPr>
        <w:t>第三十一条</w:t>
      </w:r>
      <w:r>
        <w:rPr>
          <w:rFonts w:hint="eastAsia"/>
        </w:rPr>
        <w:t xml:space="preserve">  市场主体反馈评价机制。“阳光食堂”平台向学校食堂运营单位、食材供应商、校外供餐单位提供对学校和食堂工作人员进行评价的机制，建立市场主体投诉和意见建议反馈通道。教育部门应定期分析研究市场主体提交的评价、投诉和意见建议，加强和规范学校食堂人员管理，对违规、失职、渎职人员进行严肃查处。</w:t>
      </w:r>
    </w:p>
    <w:p>
      <w:pPr>
        <w:pStyle w:val="52"/>
        <w:spacing w:before="526" w:after="351"/>
        <w:rPr>
          <w:rFonts w:hint="default"/>
        </w:rPr>
      </w:pPr>
      <w:r>
        <w:t>第十章</w:t>
      </w:r>
      <w:r>
        <w:rPr>
          <w:rFonts w:hint="default"/>
        </w:rPr>
        <w:t xml:space="preserve">  </w:t>
      </w:r>
      <w:r>
        <w:t>数据与信息安全</w:t>
      </w:r>
    </w:p>
    <w:p>
      <w:pPr>
        <w:ind w:firstLine="640"/>
      </w:pPr>
      <w:r>
        <w:rPr>
          <w:rStyle w:val="59"/>
          <w:rFonts w:hint="default"/>
        </w:rPr>
        <w:t>第三十二条</w:t>
      </w:r>
      <w:r>
        <w:rPr>
          <w:rFonts w:hint="eastAsia"/>
        </w:rPr>
        <w:t xml:space="preserve">  “阳光食堂”平台向各级教育部门提供在线巡检和监督功能，确保数据准确性、安全性，有效提高监管效率，降低基层人员负担。</w:t>
      </w:r>
    </w:p>
    <w:p>
      <w:pPr>
        <w:pStyle w:val="2"/>
        <w:rPr>
          <w:rFonts w:eastAsia="仿宋_GB2312"/>
          <w:kern w:val="2"/>
          <w:szCs w:val="24"/>
        </w:rPr>
      </w:pPr>
      <w:r>
        <w:rPr>
          <w:rFonts w:hint="eastAsia"/>
        </w:rPr>
        <w:t>第三十三条</w:t>
      </w:r>
      <w:r>
        <w:rPr>
          <w:rFonts w:hint="eastAsia" w:eastAsia="仿宋_GB2312"/>
          <w:kern w:val="2"/>
          <w:szCs w:val="24"/>
        </w:rPr>
        <w:t xml:space="preserve">  各级教育部门和各学校应</w:t>
      </w:r>
      <w:r>
        <w:rPr>
          <w:rFonts w:hint="eastAsia" w:eastAsia="仿宋_GB2312"/>
          <w:kern w:val="2"/>
          <w:szCs w:val="24"/>
          <w:lang w:val="en-US" w:eastAsia="zh-CN"/>
        </w:rPr>
        <w:t>定期</w:t>
      </w:r>
      <w:r>
        <w:rPr>
          <w:rFonts w:hint="eastAsia" w:eastAsia="仿宋_GB2312"/>
          <w:kern w:val="2"/>
          <w:szCs w:val="24"/>
        </w:rPr>
        <w:t>对平台中的基础信息进行核对和确认。严格控制向学生家长、市场主体发布信息的权限和审核管理，确保信息安全。</w:t>
      </w:r>
    </w:p>
    <w:p>
      <w:pPr>
        <w:ind w:firstLine="640"/>
      </w:pPr>
    </w:p>
    <w:p>
      <w:pPr>
        <w:pStyle w:val="32"/>
        <w:rPr>
          <w:rFonts w:hint="default" w:eastAsia="仿宋_GB2312" w:cs="Times New Roman"/>
        </w:rPr>
      </w:pPr>
      <w:r>
        <w:rPr>
          <w:rFonts w:eastAsia="仿宋_GB2312" w:cs="Times New Roman"/>
        </w:rPr>
        <w:t>附件</w:t>
      </w:r>
      <w:r>
        <w:rPr>
          <w:rFonts w:cs="Times New Roman"/>
        </w:rPr>
        <w:t>：</w:t>
      </w:r>
      <w:r>
        <w:rPr>
          <w:rFonts w:hint="default" w:eastAsia="仿宋_GB2312" w:cs="Times New Roman"/>
        </w:rPr>
        <w:t>1</w:t>
      </w:r>
      <w:r>
        <w:rPr>
          <w:rFonts w:hint="default" w:cs="Times New Roman"/>
        </w:rPr>
        <w:t>.</w:t>
      </w:r>
      <w:r>
        <w:rPr>
          <w:rFonts w:eastAsia="仿宋_GB2312" w:cs="Times New Roman"/>
        </w:rPr>
        <w:t>中小学食材采购项目资格审查文件参考模板</w:t>
      </w:r>
    </w:p>
    <w:p>
      <w:pPr>
        <w:pStyle w:val="32"/>
        <w:ind w:left="0" w:leftChars="0" w:firstLine="1600" w:firstLineChars="500"/>
        <w:rPr>
          <w:rFonts w:hint="default" w:eastAsia="仿宋_GB2312" w:cs="Times New Roman"/>
        </w:rPr>
      </w:pPr>
      <w:r>
        <w:rPr>
          <w:rFonts w:eastAsia="仿宋_GB2312" w:cs="Times New Roman"/>
        </w:rPr>
        <w:t>2.中小学食材采购项目公开招标文件参考模板</w:t>
      </w:r>
    </w:p>
    <w:p>
      <w:pPr>
        <w:pStyle w:val="31"/>
        <w:spacing w:line="560" w:lineRule="atLeast"/>
        <w:rPr>
          <w:rFonts w:cs="Times New Roman"/>
        </w:rPr>
      </w:pPr>
      <w:r>
        <w:rPr>
          <w:rFonts w:hint="eastAsia" w:cs="Times New Roman"/>
        </w:rPr>
        <w:t>3.中小学食材招标工作导引</w:t>
      </w:r>
    </w:p>
    <w:p>
      <w:pPr>
        <w:pStyle w:val="31"/>
        <w:spacing w:line="560" w:lineRule="atLeast"/>
        <w:ind w:firstLineChars="0"/>
        <w:jc w:val="left"/>
        <w:rPr>
          <w:rFonts w:cs="Times New Roman"/>
        </w:rPr>
      </w:pPr>
      <w:r>
        <w:rPr>
          <w:rFonts w:hint="eastAsia" w:cs="Times New Roman"/>
        </w:rPr>
        <w:t>4</w:t>
      </w:r>
      <w:r>
        <w:rPr>
          <w:rFonts w:cs="Times New Roman"/>
        </w:rPr>
        <w:t>.</w:t>
      </w:r>
      <w:r>
        <w:rPr>
          <w:rFonts w:hint="eastAsia" w:cs="Times New Roman"/>
        </w:rPr>
        <w:t>中小学食堂与校外供餐家长群众监督工作导引</w:t>
      </w:r>
    </w:p>
    <w:p>
      <w:pPr>
        <w:pStyle w:val="31"/>
        <w:spacing w:line="560" w:lineRule="atLeast"/>
        <w:ind w:firstLineChars="0"/>
        <w:jc w:val="left"/>
        <w:rPr>
          <w:rFonts w:cs="Times New Roman"/>
        </w:rPr>
      </w:pPr>
      <w:r>
        <w:rPr>
          <w:rFonts w:hint="eastAsia" w:cs="Times New Roman"/>
        </w:rPr>
        <w:t>5</w:t>
      </w:r>
      <w:r>
        <w:rPr>
          <w:rFonts w:cs="Times New Roman"/>
        </w:rPr>
        <w:t>.</w:t>
      </w:r>
      <w:r>
        <w:rPr>
          <w:rFonts w:hint="eastAsia" w:cs="Times New Roman"/>
        </w:rPr>
        <w:t>中小学食堂与校外供餐市场主体服务评价及服务分值管理工作导引</w:t>
      </w:r>
    </w:p>
    <w:p>
      <w:pPr>
        <w:pStyle w:val="31"/>
        <w:ind w:firstLineChars="0"/>
        <w:jc w:val="left"/>
        <w:rPr>
          <w:rFonts w:cs="Times New Roman"/>
        </w:rPr>
      </w:pPr>
      <w:r>
        <w:rPr>
          <w:rFonts w:hint="eastAsia" w:cs="Times New Roman"/>
        </w:rPr>
        <w:t>6</w:t>
      </w:r>
      <w:r>
        <w:rPr>
          <w:rFonts w:cs="Times New Roman"/>
        </w:rPr>
        <w:t>.</w:t>
      </w:r>
      <w:r>
        <w:rPr>
          <w:rFonts w:hint="eastAsia" w:cs="Times New Roman"/>
        </w:rPr>
        <w:t>学校食堂与校外供餐市场主体反向评价工作导引</w:t>
      </w:r>
    </w:p>
    <w:p>
      <w:pPr>
        <w:ind w:firstLine="640"/>
      </w:pPr>
      <w:r>
        <w:br w:type="page"/>
      </w:r>
    </w:p>
    <w:p>
      <w:pPr>
        <w:pStyle w:val="31"/>
        <w:ind w:firstLineChars="0"/>
        <w:jc w:val="left"/>
        <w:rPr>
          <w:rFonts w:cs="Times New Roman"/>
        </w:rPr>
      </w:pPr>
      <w:bookmarkStart w:id="114" w:name="_GoBack"/>
      <w:bookmarkEnd w:id="114"/>
    </w:p>
    <w:p>
      <w:pPr>
        <w:pStyle w:val="48"/>
        <w:widowControl w:val="0"/>
        <w:rPr>
          <w:rFonts w:eastAsia="黑体" w:cs="Times New Roman"/>
          <w:szCs w:val="32"/>
        </w:rPr>
      </w:pPr>
      <w:r>
        <w:rPr>
          <w:rFonts w:hint="eastAsia" w:cs="Times New Roman"/>
        </w:rPr>
        <w:t>附件目录</w:t>
      </w:r>
    </w:p>
    <w:p>
      <w:pPr>
        <w:spacing w:line="720" w:lineRule="atLeast"/>
        <w:ind w:firstLine="640"/>
        <w:rPr>
          <w:rFonts w:hint="eastAsia" w:eastAsia="仿宋_GB2312"/>
          <w:lang w:eastAsia="zh-CN"/>
        </w:rPr>
      </w:pPr>
      <w:r>
        <w:rPr>
          <w:rFonts w:hint="eastAsia"/>
        </w:rPr>
        <w:t>1.中小学食材采购项目资格审查文件参考模板</w:t>
      </w:r>
      <w:r>
        <w:rPr>
          <w:rFonts w:hint="eastAsia" w:eastAsia="宋体"/>
        </w:rPr>
        <w:t>..................</w:t>
      </w:r>
      <w:r>
        <w:rPr>
          <w:rFonts w:hint="eastAsia"/>
        </w:rPr>
        <w:t>3</w:t>
      </w:r>
      <w:r>
        <w:rPr>
          <w:rFonts w:hint="eastAsia"/>
          <w:lang w:val="en-US" w:eastAsia="zh-CN"/>
        </w:rPr>
        <w:t>4</w:t>
      </w:r>
    </w:p>
    <w:p>
      <w:pPr>
        <w:spacing w:line="720" w:lineRule="atLeast"/>
        <w:ind w:firstLine="640"/>
        <w:rPr>
          <w:rFonts w:hint="eastAsia" w:eastAsia="仿宋_GB2312"/>
          <w:lang w:eastAsia="zh-CN"/>
        </w:rPr>
      </w:pPr>
      <w:r>
        <w:rPr>
          <w:rFonts w:hint="eastAsia"/>
        </w:rPr>
        <w:t>2.中小学食材采购项目公开招标文件参考模板</w:t>
      </w:r>
      <w:r>
        <w:t>………</w:t>
      </w:r>
      <w:r>
        <w:rPr>
          <w:rFonts w:hint="eastAsia" w:eastAsia="宋体"/>
        </w:rPr>
        <w:t>......</w:t>
      </w:r>
      <w:r>
        <w:rPr>
          <w:rFonts w:hint="eastAsia"/>
        </w:rPr>
        <w:t>8</w:t>
      </w:r>
      <w:r>
        <w:rPr>
          <w:rFonts w:hint="eastAsia"/>
          <w:lang w:val="en-US" w:eastAsia="zh-CN"/>
        </w:rPr>
        <w:t>5</w:t>
      </w:r>
    </w:p>
    <w:p>
      <w:pPr>
        <w:spacing w:line="720" w:lineRule="atLeast"/>
        <w:ind w:firstLine="640"/>
        <w:rPr>
          <w:rFonts w:hint="eastAsia" w:eastAsia="仿宋_GB2312"/>
          <w:lang w:eastAsia="zh-CN"/>
        </w:rPr>
      </w:pPr>
      <w:r>
        <w:rPr>
          <w:rFonts w:hint="eastAsia"/>
        </w:rPr>
        <w:t>3.中小学食材招标工作导引</w:t>
      </w:r>
      <w:r>
        <w:rPr>
          <w:rFonts w:hint="eastAsia" w:eastAsia="宋体"/>
        </w:rPr>
        <w:t>...............................................</w:t>
      </w:r>
      <w:r>
        <w:rPr>
          <w:rFonts w:hint="eastAsia"/>
        </w:rPr>
        <w:t xml:space="preserve"> 15</w:t>
      </w:r>
      <w:r>
        <w:rPr>
          <w:rFonts w:hint="eastAsia"/>
          <w:lang w:val="en-US" w:eastAsia="zh-CN"/>
        </w:rPr>
        <w:t>6</w:t>
      </w:r>
    </w:p>
    <w:p>
      <w:pPr>
        <w:spacing w:line="720" w:lineRule="atLeast"/>
        <w:ind w:firstLine="640"/>
        <w:rPr>
          <w:rFonts w:hint="eastAsia" w:eastAsia="仿宋_GB2312"/>
          <w:lang w:eastAsia="zh-CN"/>
        </w:rPr>
      </w:pPr>
      <w:r>
        <w:rPr>
          <w:rFonts w:hint="eastAsia"/>
        </w:rPr>
        <w:t>4.中小学食堂与校外供餐家长群众监督工作导引</w:t>
      </w:r>
      <w:r>
        <w:rPr>
          <w:rFonts w:hint="eastAsia" w:eastAsia="宋体"/>
        </w:rPr>
        <w:t>............</w:t>
      </w:r>
      <w:r>
        <w:rPr>
          <w:rFonts w:hint="eastAsia"/>
        </w:rPr>
        <w:t>17</w:t>
      </w:r>
      <w:r>
        <w:rPr>
          <w:rFonts w:hint="eastAsia"/>
          <w:lang w:val="en-US" w:eastAsia="zh-CN"/>
        </w:rPr>
        <w:t>4</w:t>
      </w:r>
    </w:p>
    <w:p>
      <w:pPr>
        <w:spacing w:line="720" w:lineRule="atLeast"/>
        <w:ind w:firstLine="640"/>
        <w:rPr>
          <w:rFonts w:hint="eastAsia" w:eastAsia="仿宋_GB2312"/>
          <w:lang w:eastAsia="zh-CN"/>
        </w:rPr>
      </w:pPr>
      <w:r>
        <w:rPr>
          <w:rFonts w:hint="eastAsia"/>
        </w:rPr>
        <w:t>5.中小学食堂与校外供餐市场主体服务评价及服务分值管理工作导引</w:t>
      </w:r>
      <w:r>
        <w:rPr>
          <w:rFonts w:hint="eastAsia" w:eastAsia="宋体"/>
        </w:rPr>
        <w:t>...................................................................................</w:t>
      </w:r>
      <w:r>
        <w:rPr>
          <w:rFonts w:hint="eastAsia"/>
        </w:rPr>
        <w:t>18</w:t>
      </w:r>
      <w:r>
        <w:rPr>
          <w:rFonts w:hint="eastAsia"/>
          <w:lang w:val="en-US" w:eastAsia="zh-CN"/>
        </w:rPr>
        <w:t>2</w:t>
      </w:r>
    </w:p>
    <w:p>
      <w:pPr>
        <w:spacing w:line="720" w:lineRule="atLeast"/>
        <w:ind w:firstLine="640"/>
        <w:rPr>
          <w:rFonts w:hint="eastAsia" w:eastAsia="仿宋_GB2312"/>
          <w:lang w:eastAsia="zh-CN"/>
        </w:rPr>
      </w:pPr>
      <w:r>
        <w:rPr>
          <w:rFonts w:hint="eastAsia"/>
        </w:rPr>
        <w:t>6.中小学食堂与校外供餐市场主体反向评价工作导引</w:t>
      </w:r>
      <w:r>
        <w:rPr>
          <w:rFonts w:hint="eastAsia" w:eastAsia="宋体"/>
        </w:rPr>
        <w:t>....</w:t>
      </w:r>
      <w:r>
        <w:rPr>
          <w:rFonts w:hint="eastAsia"/>
        </w:rPr>
        <w:t>19</w:t>
      </w:r>
      <w:r>
        <w:rPr>
          <w:rFonts w:hint="eastAsia"/>
          <w:lang w:val="en-US" w:eastAsia="zh-CN"/>
        </w:rPr>
        <w:t>0</w:t>
      </w:r>
    </w:p>
    <w:p>
      <w:pPr>
        <w:ind w:firstLine="640"/>
      </w:pPr>
      <w:r>
        <w:br w:type="page"/>
      </w:r>
    </w:p>
    <w:p>
      <w:pPr>
        <w:pStyle w:val="36"/>
        <w:spacing w:after="439"/>
        <w:rPr>
          <w:rFonts w:cs="Times New Roman"/>
        </w:rPr>
      </w:pPr>
      <w:r>
        <w:rPr>
          <w:rFonts w:hint="eastAsia" w:cs="Times New Roman"/>
        </w:rPr>
        <w:t>附件1</w:t>
      </w:r>
    </w:p>
    <w:p>
      <w:pPr>
        <w:ind w:firstLine="640"/>
      </w:pPr>
      <w:bookmarkStart w:id="0" w:name="_Toc4775"/>
    </w:p>
    <w:p>
      <w:pPr>
        <w:ind w:firstLine="640"/>
      </w:pPr>
    </w:p>
    <w:p>
      <w:pPr>
        <w:pStyle w:val="48"/>
        <w:widowControl w:val="0"/>
        <w:rPr>
          <w:rFonts w:cs="Times New Roman"/>
        </w:rPr>
      </w:pPr>
      <w:r>
        <w:rPr>
          <w:rFonts w:hint="eastAsia" w:cs="Times New Roman"/>
        </w:rPr>
        <w:t>中小学食材采购项目资格审查文件</w:t>
      </w:r>
    </w:p>
    <w:p>
      <w:pPr>
        <w:pStyle w:val="48"/>
        <w:widowControl w:val="0"/>
        <w:spacing w:before="219" w:beforeLines="50"/>
        <w:rPr>
          <w:rFonts w:cs="Times New Roman"/>
        </w:rPr>
      </w:pPr>
      <w:r>
        <w:rPr>
          <w:rFonts w:hint="eastAsia" w:cs="Times New Roman"/>
        </w:rPr>
        <w:t>参</w:t>
      </w:r>
      <w:r>
        <w:rPr>
          <w:rFonts w:cs="Times New Roman"/>
        </w:rPr>
        <w:t xml:space="preserve"> </w:t>
      </w:r>
      <w:r>
        <w:rPr>
          <w:rFonts w:hint="eastAsia" w:cs="Times New Roman"/>
        </w:rPr>
        <w:t>考</w:t>
      </w:r>
      <w:r>
        <w:rPr>
          <w:rFonts w:cs="Times New Roman"/>
        </w:rPr>
        <w:t xml:space="preserve"> </w:t>
      </w:r>
      <w:r>
        <w:rPr>
          <w:rFonts w:hint="eastAsia" w:cs="Times New Roman"/>
        </w:rPr>
        <w:t>模</w:t>
      </w:r>
      <w:r>
        <w:rPr>
          <w:rFonts w:cs="Times New Roman"/>
        </w:rPr>
        <w:t xml:space="preserve"> </w:t>
      </w:r>
      <w:r>
        <w:rPr>
          <w:rFonts w:hint="eastAsia" w:cs="Times New Roman"/>
        </w:rPr>
        <w:t>板</w:t>
      </w:r>
    </w:p>
    <w:p>
      <w:pPr>
        <w:ind w:firstLine="640"/>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pStyle w:val="10"/>
        <w:ind w:firstLine="640"/>
        <w:rPr>
          <w:rFonts w:ascii="Times New Roman" w:hAnsi="Times New Roman" w:cs="Times New Roman"/>
          <w:sz w:val="32"/>
          <w:szCs w:val="32"/>
          <w:lang w:eastAsia="zh-CN"/>
        </w:rPr>
      </w:pPr>
    </w:p>
    <w:p>
      <w:pPr>
        <w:ind w:firstLine="640"/>
        <w:rPr>
          <w:szCs w:val="32"/>
        </w:rPr>
      </w:pPr>
    </w:p>
    <w:p>
      <w:pPr>
        <w:pStyle w:val="29"/>
        <w:spacing w:before="219" w:after="439"/>
        <w:rPr>
          <w:rFonts w:hint="eastAsia" w:eastAsia="楷体_GB2312" w:cs="Times New Roman"/>
          <w:b/>
          <w:bCs/>
          <w:szCs w:val="32"/>
        </w:rPr>
      </w:pPr>
      <w:r>
        <w:rPr>
          <w:rFonts w:hint="eastAsia" w:eastAsia="楷体_GB2312" w:cs="Times New Roman"/>
          <w:b/>
          <w:bCs/>
          <w:szCs w:val="32"/>
        </w:rPr>
        <w:t>巩固校园餐整治成果工作组</w:t>
      </w:r>
    </w:p>
    <w:p>
      <w:pPr>
        <w:pStyle w:val="29"/>
        <w:spacing w:before="219" w:after="439"/>
        <w:rPr>
          <w:rFonts w:eastAsia="楷体_GB2312" w:cs="Times New Roman"/>
          <w:b/>
          <w:bCs/>
          <w:szCs w:val="36"/>
        </w:rPr>
      </w:pPr>
      <w:r>
        <w:rPr>
          <w:rFonts w:hint="eastAsia" w:eastAsia="楷体_GB2312" w:cs="Times New Roman"/>
          <w:b/>
          <w:bCs/>
          <w:szCs w:val="32"/>
        </w:rPr>
        <w:t>2026年</w:t>
      </w:r>
      <w:r>
        <w:rPr>
          <w:rFonts w:hint="eastAsia" w:eastAsia="楷体_GB2312" w:cs="Times New Roman"/>
          <w:b/>
          <w:bCs/>
          <w:szCs w:val="32"/>
          <w:lang w:val="en-US" w:eastAsia="zh-CN"/>
        </w:rPr>
        <w:t>5</w:t>
      </w:r>
      <w:r>
        <w:rPr>
          <w:rFonts w:hint="eastAsia" w:eastAsia="楷体_GB2312" w:cs="Times New Roman"/>
          <w:b/>
          <w:bCs/>
          <w:szCs w:val="32"/>
        </w:rPr>
        <w:t>月</w:t>
      </w:r>
    </w:p>
    <w:p>
      <w:pPr>
        <w:pStyle w:val="2"/>
        <w:sectPr>
          <w:footerReference r:id="rId11" w:type="default"/>
          <w:pgSz w:w="11906" w:h="16838"/>
          <w:pgMar w:top="2098" w:right="1587" w:bottom="1984" w:left="1587" w:header="851" w:footer="1417" w:gutter="0"/>
          <w:pgNumType w:start="1"/>
          <w:cols w:space="0" w:num="1"/>
          <w:docGrid w:type="lines" w:linePitch="439" w:charSpace="0"/>
        </w:sectPr>
      </w:pPr>
    </w:p>
    <w:p>
      <w:pPr>
        <w:ind w:firstLine="640"/>
        <w:rPr>
          <w:rFonts w:eastAsia="黑体"/>
        </w:rPr>
        <w:sectPr>
          <w:headerReference r:id="rId12" w:type="default"/>
          <w:footerReference r:id="rId13" w:type="default"/>
          <w:type w:val="continuous"/>
          <w:pgSz w:w="11906" w:h="16838"/>
          <w:pgMar w:top="2154" w:right="1531" w:bottom="1984" w:left="1531" w:header="851" w:footer="992" w:gutter="0"/>
          <w:cols w:space="0" w:num="1"/>
          <w:docGrid w:type="lines" w:linePitch="437" w:charSpace="0"/>
        </w:sectPr>
      </w:pPr>
    </w:p>
    <w:p>
      <w:pPr>
        <w:ind w:firstLine="640"/>
        <w:rPr>
          <w:rFonts w:eastAsia="黑体"/>
        </w:rPr>
      </w:pPr>
    </w:p>
    <w:p>
      <w:pPr>
        <w:overflowPunct/>
        <w:spacing w:line="580" w:lineRule="atLeast"/>
        <w:ind w:firstLine="0" w:firstLineChars="0"/>
        <w:rPr>
          <w:rFonts w:eastAsia="黑体"/>
          <w:szCs w:val="28"/>
        </w:rPr>
      </w:pPr>
      <w:r>
        <w:rPr>
          <w:rFonts w:hint="eastAsia" w:eastAsia="黑体"/>
          <w:szCs w:val="28"/>
        </w:rPr>
        <w:t>关于本模板的使用说明：</w:t>
      </w:r>
    </w:p>
    <w:p>
      <w:pPr>
        <w:overflowPunct/>
        <w:spacing w:line="580" w:lineRule="atLeast"/>
        <w:ind w:firstLine="640"/>
        <w:rPr>
          <w:rFonts w:eastAsia="黑体"/>
          <w:szCs w:val="28"/>
        </w:rPr>
      </w:pPr>
      <w:r>
        <w:rPr>
          <w:rFonts w:hint="eastAsia" w:eastAsia="黑体"/>
          <w:szCs w:val="28"/>
        </w:rPr>
        <w:t>一、本模板由各地制定学校食材采购供应商资格审查时参考，如国家和省有关政策调整的，各地应相应及时予以调整；</w:t>
      </w:r>
    </w:p>
    <w:p>
      <w:pPr>
        <w:overflowPunct/>
        <w:spacing w:line="580" w:lineRule="atLeast"/>
        <w:ind w:firstLine="640"/>
        <w:rPr>
          <w:rFonts w:eastAsia="黑体"/>
          <w:szCs w:val="28"/>
        </w:rPr>
      </w:pPr>
      <w:r>
        <w:rPr>
          <w:rFonts w:hint="eastAsia" w:eastAsia="黑体"/>
          <w:szCs w:val="28"/>
        </w:rPr>
        <w:t>二、本模板中带下划波浪线的文字，为政策核心内容，在正式招标文件中不得修改。</w:t>
      </w:r>
    </w:p>
    <w:p>
      <w:pPr>
        <w:ind w:firstLine="640"/>
        <w:rPr>
          <w:rFonts w:eastAsia="楷体_GB2312"/>
          <w:szCs w:val="28"/>
        </w:rPr>
      </w:pPr>
      <w:r>
        <w:rPr>
          <w:rFonts w:hint="eastAsia" w:eastAsia="楷体_GB2312"/>
          <w:szCs w:val="28"/>
        </w:rPr>
        <w:t>（本页内容不属资格审查文件内容，正式使用时应删除）</w:t>
      </w:r>
    </w:p>
    <w:p>
      <w:pPr>
        <w:overflowPunct/>
        <w:adjustRightInd/>
        <w:snapToGrid/>
        <w:spacing w:line="360" w:lineRule="auto"/>
        <w:ind w:firstLine="0" w:firstLineChars="0"/>
        <w:jc w:val="center"/>
        <w:rPr>
          <w:rFonts w:eastAsia="宋体"/>
          <w:b/>
          <w:bCs/>
          <w:sz w:val="48"/>
          <w:szCs w:val="48"/>
        </w:rPr>
      </w:pPr>
      <w:r>
        <w:rPr>
          <w:rFonts w:eastAsia="黑体"/>
          <w:szCs w:val="28"/>
        </w:rPr>
        <w:br w:type="page"/>
      </w:r>
    </w:p>
    <w:p>
      <w:pPr>
        <w:shd w:val="clear" w:color="auto" w:fill="FFFFFF"/>
        <w:overflowPunct/>
        <w:adjustRightInd/>
        <w:snapToGrid/>
        <w:spacing w:line="360" w:lineRule="auto"/>
        <w:ind w:firstLine="0" w:firstLineChars="0"/>
        <w:jc w:val="center"/>
        <w:rPr>
          <w:rFonts w:eastAsia="宋体"/>
          <w:b/>
          <w:kern w:val="0"/>
          <w:sz w:val="36"/>
          <w:szCs w:val="36"/>
        </w:rPr>
      </w:pPr>
      <w:r>
        <w:rPr>
          <w:rFonts w:eastAsia="方正小标宋简体"/>
          <w:bCs/>
          <w:sz w:val="44"/>
          <w:szCs w:val="44"/>
          <w:lang w:val="zh-CN"/>
        </w:rPr>
        <w:t>XX地区</w:t>
      </w:r>
      <w:r>
        <w:rPr>
          <w:rFonts w:hint="eastAsia" w:eastAsia="方正小标宋简体"/>
          <w:bCs/>
          <w:sz w:val="44"/>
          <w:szCs w:val="44"/>
          <w:lang w:val="zh-CN"/>
        </w:rPr>
        <w:t>中小学食材采购项目</w:t>
      </w: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hint="eastAsia" w:eastAsia="方正小标宋简体"/>
          <w:bCs/>
          <w:sz w:val="44"/>
          <w:szCs w:val="44"/>
          <w:lang w:val="zh-CN"/>
        </w:rPr>
        <w:t>资格审查</w:t>
      </w:r>
      <w:r>
        <w:rPr>
          <w:rFonts w:eastAsia="方正小标宋简体"/>
          <w:bCs/>
          <w:sz w:val="44"/>
          <w:szCs w:val="44"/>
          <w:lang w:val="zh-CN"/>
        </w:rPr>
        <w:t>文件</w:t>
      </w: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项目编号：</w:t>
      </w: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采购人：XXXX</w:t>
      </w: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采购代理机构：XXXX</w:t>
      </w:r>
    </w:p>
    <w:p>
      <w:pPr>
        <w:widowControl/>
        <w:shd w:val="clear" w:color="auto" w:fill="FFFFFF"/>
        <w:spacing w:line="360" w:lineRule="auto"/>
        <w:ind w:firstLine="3080" w:firstLineChars="700"/>
        <w:rPr>
          <w:rFonts w:eastAsia="方正小标宋简体"/>
          <w:bCs/>
          <w:sz w:val="44"/>
          <w:szCs w:val="44"/>
          <w:lang w:val="zh-CN"/>
        </w:rPr>
        <w:sectPr>
          <w:headerReference r:id="rId15" w:type="first"/>
          <w:footerReference r:id="rId16" w:type="first"/>
          <w:headerReference r:id="rId14" w:type="default"/>
          <w:pgSz w:w="11906" w:h="16838"/>
          <w:pgMar w:top="2098" w:right="1587" w:bottom="1984" w:left="1587" w:header="850" w:footer="1417" w:gutter="0"/>
          <w:cols w:space="720" w:num="1"/>
          <w:docGrid w:type="lines" w:linePitch="290" w:charSpace="0"/>
        </w:sectPr>
      </w:pPr>
      <w:r>
        <w:rPr>
          <w:rFonts w:eastAsia="方正小标宋简体"/>
          <w:bCs/>
          <w:sz w:val="44"/>
          <w:szCs w:val="44"/>
          <w:lang w:val="zh-CN"/>
        </w:rPr>
        <w:t>202X年XX月</w:t>
      </w:r>
    </w:p>
    <w:sdt>
      <w:sdtPr>
        <w:rPr>
          <w:rFonts w:eastAsia="宋体"/>
          <w:sz w:val="21"/>
          <w:lang w:val="zh-CN"/>
        </w:rPr>
        <w:id w:val="147454028"/>
        <w:docPartObj>
          <w:docPartGallery w:val="Table of Contents"/>
          <w:docPartUnique/>
        </w:docPartObj>
      </w:sdtPr>
      <w:sdtEndPr>
        <w:rPr>
          <w:rFonts w:eastAsia="宋体"/>
          <w:b/>
          <w:bCs/>
          <w:sz w:val="28"/>
          <w:szCs w:val="32"/>
          <w:lang w:val="zh-CN"/>
        </w:rPr>
      </w:sdtEndPr>
      <w:sdtContent>
        <w:p>
          <w:pPr>
            <w:keepNext/>
            <w:keepLines/>
            <w:spacing w:before="240" w:line="259" w:lineRule="auto"/>
            <w:ind w:firstLine="0" w:firstLineChars="0"/>
            <w:jc w:val="center"/>
            <w:rPr>
              <w:rFonts w:eastAsia="宋体"/>
              <w:b/>
              <w:bCs/>
              <w:kern w:val="0"/>
              <w:sz w:val="36"/>
              <w:szCs w:val="36"/>
            </w:rPr>
          </w:pPr>
          <w:r>
            <w:rPr>
              <w:rFonts w:eastAsia="宋体"/>
              <w:b/>
              <w:bCs/>
              <w:kern w:val="0"/>
              <w:sz w:val="36"/>
              <w:szCs w:val="36"/>
              <w:lang w:val="zh-CN"/>
            </w:rPr>
            <w:t>目 录</w:t>
          </w:r>
        </w:p>
        <w:p>
          <w:pPr>
            <w:tabs>
              <w:tab w:val="right" w:leader="dot" w:pos="9638"/>
            </w:tabs>
            <w:ind w:firstLine="0" w:firstLineChars="0"/>
            <w:rPr>
              <w:rFonts w:eastAsia="宋体"/>
              <w:b/>
              <w:bCs/>
              <w:szCs w:val="40"/>
            </w:rPr>
          </w:pPr>
          <w:r>
            <w:rPr>
              <w:rFonts w:eastAsia="宋体"/>
              <w:b/>
              <w:bCs/>
              <w:sz w:val="52"/>
              <w:szCs w:val="52"/>
            </w:rPr>
            <w:fldChar w:fldCharType="begin"/>
          </w:r>
          <w:r>
            <w:rPr>
              <w:rFonts w:eastAsia="宋体"/>
              <w:b/>
              <w:bCs/>
              <w:sz w:val="52"/>
              <w:szCs w:val="52"/>
            </w:rPr>
            <w:instrText xml:space="preserve"> TOC \o "1-1" \h \z \u </w:instrText>
          </w:r>
          <w:r>
            <w:rPr>
              <w:rFonts w:eastAsia="宋体"/>
              <w:b/>
              <w:bCs/>
              <w:sz w:val="52"/>
              <w:szCs w:val="52"/>
            </w:rPr>
            <w:fldChar w:fldCharType="separate"/>
          </w:r>
          <w:r>
            <w:fldChar w:fldCharType="begin"/>
          </w:r>
          <w:r>
            <w:instrText xml:space="preserve"> HYPERLINK \l "_Toc23312" </w:instrText>
          </w:r>
          <w:r>
            <w:fldChar w:fldCharType="separate"/>
          </w:r>
          <w:r>
            <w:rPr>
              <w:rFonts w:eastAsia="宋体"/>
              <w:b/>
              <w:bCs/>
              <w:szCs w:val="40"/>
            </w:rPr>
            <w:t xml:space="preserve">第一章 </w:t>
          </w:r>
          <w:r>
            <w:rPr>
              <w:rFonts w:hint="eastAsia" w:eastAsia="宋体"/>
              <w:b/>
              <w:bCs/>
              <w:szCs w:val="40"/>
            </w:rPr>
            <w:t>资格审查</w:t>
          </w:r>
          <w:r>
            <w:rPr>
              <w:rFonts w:eastAsia="宋体"/>
              <w:b/>
              <w:bCs/>
              <w:szCs w:val="40"/>
            </w:rPr>
            <w:t>公告</w:t>
          </w:r>
          <w:r>
            <w:rPr>
              <w:rFonts w:hint="eastAsia" w:eastAsia="宋体"/>
              <w:b/>
              <w:bCs/>
              <w:szCs w:val="40"/>
            </w:rPr>
            <w:t>..................................................................</w:t>
          </w:r>
          <w:r>
            <w:rPr>
              <w:rFonts w:eastAsia="宋体"/>
              <w:b/>
              <w:bCs/>
              <w:szCs w:val="40"/>
            </w:rPr>
            <w:fldChar w:fldCharType="begin"/>
          </w:r>
          <w:r>
            <w:rPr>
              <w:rFonts w:eastAsia="宋体"/>
              <w:b/>
              <w:bCs/>
              <w:szCs w:val="40"/>
            </w:rPr>
            <w:instrText xml:space="preserve"> PAGEREF _Toc23312 \h </w:instrText>
          </w:r>
          <w:r>
            <w:rPr>
              <w:rFonts w:eastAsia="宋体"/>
              <w:b/>
              <w:bCs/>
              <w:szCs w:val="40"/>
            </w:rPr>
            <w:fldChar w:fldCharType="separate"/>
          </w:r>
          <w:r>
            <w:rPr>
              <w:rFonts w:eastAsia="宋体"/>
              <w:b/>
              <w:bCs/>
              <w:szCs w:val="40"/>
            </w:rPr>
            <w:t>38</w:t>
          </w:r>
          <w:r>
            <w:rPr>
              <w:rFonts w:eastAsia="宋体"/>
              <w:b/>
              <w:bCs/>
              <w:szCs w:val="40"/>
            </w:rPr>
            <w:fldChar w:fldCharType="end"/>
          </w:r>
          <w:r>
            <w:rPr>
              <w:rFonts w:eastAsia="宋体"/>
              <w:b/>
              <w:bCs/>
              <w:szCs w:val="40"/>
            </w:rPr>
            <w:fldChar w:fldCharType="end"/>
          </w:r>
        </w:p>
        <w:p>
          <w:pPr>
            <w:tabs>
              <w:tab w:val="right" w:leader="dot" w:pos="9638"/>
            </w:tabs>
            <w:ind w:firstLine="0" w:firstLineChars="0"/>
            <w:rPr>
              <w:rFonts w:eastAsia="宋体"/>
              <w:b/>
              <w:bCs/>
              <w:szCs w:val="40"/>
            </w:rPr>
          </w:pPr>
          <w:r>
            <w:fldChar w:fldCharType="begin"/>
          </w:r>
          <w:r>
            <w:instrText xml:space="preserve"> HYPERLINK \l "_Toc19157" </w:instrText>
          </w:r>
          <w:r>
            <w:fldChar w:fldCharType="separate"/>
          </w:r>
          <w:r>
            <w:rPr>
              <w:rFonts w:eastAsia="宋体"/>
              <w:b/>
              <w:bCs/>
              <w:szCs w:val="40"/>
            </w:rPr>
            <w:t>第二章 投标人须知</w:t>
          </w:r>
          <w:r>
            <w:rPr>
              <w:rFonts w:hint="eastAsia" w:eastAsia="宋体"/>
              <w:b/>
              <w:bCs/>
              <w:szCs w:val="40"/>
            </w:rPr>
            <w:t>......................................................................</w:t>
          </w:r>
          <w:r>
            <w:rPr>
              <w:rFonts w:eastAsia="宋体"/>
              <w:b/>
              <w:bCs/>
              <w:szCs w:val="40"/>
            </w:rPr>
            <w:fldChar w:fldCharType="begin"/>
          </w:r>
          <w:r>
            <w:rPr>
              <w:rFonts w:eastAsia="宋体"/>
              <w:b/>
              <w:bCs/>
              <w:szCs w:val="40"/>
            </w:rPr>
            <w:instrText xml:space="preserve"> PAGEREF _Toc19157 \h </w:instrText>
          </w:r>
          <w:r>
            <w:rPr>
              <w:rFonts w:eastAsia="宋体"/>
              <w:b/>
              <w:bCs/>
              <w:szCs w:val="40"/>
            </w:rPr>
            <w:fldChar w:fldCharType="separate"/>
          </w:r>
          <w:r>
            <w:rPr>
              <w:rFonts w:eastAsia="宋体"/>
              <w:b/>
              <w:bCs/>
              <w:szCs w:val="40"/>
            </w:rPr>
            <w:t>43</w:t>
          </w:r>
          <w:r>
            <w:rPr>
              <w:rFonts w:eastAsia="宋体"/>
              <w:b/>
              <w:bCs/>
              <w:szCs w:val="40"/>
            </w:rPr>
            <w:fldChar w:fldCharType="end"/>
          </w:r>
          <w:r>
            <w:rPr>
              <w:rFonts w:eastAsia="宋体"/>
              <w:b/>
              <w:bCs/>
              <w:szCs w:val="40"/>
            </w:rPr>
            <w:fldChar w:fldCharType="end"/>
          </w:r>
        </w:p>
        <w:p>
          <w:pPr>
            <w:tabs>
              <w:tab w:val="right" w:leader="dot" w:pos="9638"/>
            </w:tabs>
            <w:ind w:firstLine="0" w:firstLineChars="0"/>
            <w:rPr>
              <w:rFonts w:eastAsia="宋体"/>
              <w:b/>
              <w:bCs/>
              <w:szCs w:val="40"/>
            </w:rPr>
          </w:pPr>
          <w:r>
            <w:fldChar w:fldCharType="begin"/>
          </w:r>
          <w:r>
            <w:instrText xml:space="preserve"> HYPERLINK \l "_Toc19576" </w:instrText>
          </w:r>
          <w:r>
            <w:fldChar w:fldCharType="separate"/>
          </w:r>
          <w:r>
            <w:rPr>
              <w:rFonts w:eastAsia="宋体"/>
              <w:b/>
              <w:bCs/>
              <w:szCs w:val="40"/>
            </w:rPr>
            <w:t>第三章 资格审查办法及确定</w:t>
          </w:r>
          <w:r>
            <w:rPr>
              <w:rFonts w:hint="eastAsia" w:eastAsia="宋体"/>
              <w:b/>
              <w:bCs/>
              <w:szCs w:val="40"/>
            </w:rPr>
            <w:t>资格审查</w:t>
          </w:r>
          <w:r>
            <w:rPr>
              <w:rFonts w:eastAsia="宋体"/>
              <w:b/>
              <w:bCs/>
              <w:szCs w:val="40"/>
            </w:rPr>
            <w:t>通过的投标人</w:t>
          </w:r>
          <w:r>
            <w:rPr>
              <w:rFonts w:hint="eastAsia" w:eastAsia="宋体"/>
              <w:b/>
              <w:bCs/>
              <w:szCs w:val="40"/>
            </w:rPr>
            <w:t>..............</w:t>
          </w:r>
          <w:r>
            <w:rPr>
              <w:rFonts w:eastAsia="宋体"/>
              <w:b/>
              <w:bCs/>
              <w:szCs w:val="40"/>
            </w:rPr>
            <w:fldChar w:fldCharType="begin"/>
          </w:r>
          <w:r>
            <w:rPr>
              <w:rFonts w:eastAsia="宋体"/>
              <w:b/>
              <w:bCs/>
              <w:szCs w:val="40"/>
            </w:rPr>
            <w:instrText xml:space="preserve"> PAGEREF _Toc19576 \h </w:instrText>
          </w:r>
          <w:r>
            <w:rPr>
              <w:rFonts w:eastAsia="宋体"/>
              <w:b/>
              <w:bCs/>
              <w:szCs w:val="40"/>
            </w:rPr>
            <w:fldChar w:fldCharType="separate"/>
          </w:r>
          <w:r>
            <w:rPr>
              <w:rFonts w:eastAsia="宋体"/>
              <w:b/>
              <w:bCs/>
              <w:szCs w:val="40"/>
            </w:rPr>
            <w:t>59</w:t>
          </w:r>
          <w:r>
            <w:rPr>
              <w:rFonts w:eastAsia="宋体"/>
              <w:b/>
              <w:bCs/>
              <w:szCs w:val="40"/>
            </w:rPr>
            <w:fldChar w:fldCharType="end"/>
          </w:r>
          <w:r>
            <w:rPr>
              <w:rFonts w:eastAsia="宋体"/>
              <w:b/>
              <w:bCs/>
              <w:szCs w:val="40"/>
            </w:rPr>
            <w:fldChar w:fldCharType="end"/>
          </w:r>
        </w:p>
        <w:p>
          <w:pPr>
            <w:tabs>
              <w:tab w:val="right" w:leader="dot" w:pos="9638"/>
            </w:tabs>
            <w:ind w:firstLine="0" w:firstLineChars="0"/>
            <w:rPr>
              <w:rFonts w:eastAsia="宋体"/>
              <w:b/>
              <w:bCs/>
              <w:szCs w:val="40"/>
            </w:rPr>
          </w:pPr>
          <w:r>
            <w:fldChar w:fldCharType="begin"/>
          </w:r>
          <w:r>
            <w:instrText xml:space="preserve"> HYPERLINK \l "_Toc14054" </w:instrText>
          </w:r>
          <w:r>
            <w:fldChar w:fldCharType="separate"/>
          </w:r>
          <w:r>
            <w:rPr>
              <w:rFonts w:eastAsia="宋体"/>
              <w:b/>
              <w:bCs/>
              <w:szCs w:val="40"/>
            </w:rPr>
            <w:t>第四章 采购项目的内容和相关技术要求等</w:t>
          </w:r>
          <w:r>
            <w:rPr>
              <w:rFonts w:hint="eastAsia" w:eastAsia="宋体"/>
              <w:b/>
              <w:bCs/>
              <w:szCs w:val="40"/>
            </w:rPr>
            <w:t>..............................</w:t>
          </w:r>
          <w:r>
            <w:rPr>
              <w:rFonts w:eastAsia="宋体"/>
              <w:b/>
              <w:bCs/>
              <w:szCs w:val="40"/>
            </w:rPr>
            <w:fldChar w:fldCharType="begin"/>
          </w:r>
          <w:r>
            <w:rPr>
              <w:rFonts w:eastAsia="宋体"/>
              <w:b/>
              <w:bCs/>
              <w:szCs w:val="40"/>
            </w:rPr>
            <w:instrText xml:space="preserve"> PAGEREF _Toc14054 \h </w:instrText>
          </w:r>
          <w:r>
            <w:rPr>
              <w:rFonts w:eastAsia="宋体"/>
              <w:b/>
              <w:bCs/>
              <w:szCs w:val="40"/>
            </w:rPr>
            <w:fldChar w:fldCharType="separate"/>
          </w:r>
          <w:r>
            <w:rPr>
              <w:rFonts w:eastAsia="宋体"/>
              <w:b/>
              <w:bCs/>
              <w:szCs w:val="40"/>
            </w:rPr>
            <w:t>64</w:t>
          </w:r>
          <w:r>
            <w:rPr>
              <w:rFonts w:eastAsia="宋体"/>
              <w:b/>
              <w:bCs/>
              <w:szCs w:val="40"/>
            </w:rPr>
            <w:fldChar w:fldCharType="end"/>
          </w:r>
          <w:r>
            <w:rPr>
              <w:rFonts w:eastAsia="宋体"/>
              <w:b/>
              <w:bCs/>
              <w:szCs w:val="40"/>
            </w:rPr>
            <w:fldChar w:fldCharType="end"/>
          </w:r>
        </w:p>
        <w:p>
          <w:pPr>
            <w:tabs>
              <w:tab w:val="right" w:leader="dot" w:pos="9638"/>
            </w:tabs>
            <w:ind w:firstLine="0" w:firstLineChars="0"/>
            <w:rPr>
              <w:rFonts w:eastAsia="宋体"/>
              <w:b/>
              <w:bCs/>
              <w:szCs w:val="40"/>
            </w:rPr>
          </w:pPr>
          <w:r>
            <w:fldChar w:fldCharType="begin"/>
          </w:r>
          <w:r>
            <w:instrText xml:space="preserve"> HYPERLINK \l "_Toc17159" </w:instrText>
          </w:r>
          <w:r>
            <w:fldChar w:fldCharType="separate"/>
          </w:r>
          <w:r>
            <w:rPr>
              <w:rFonts w:eastAsia="宋体"/>
              <w:b/>
              <w:bCs/>
              <w:kern w:val="44"/>
              <w:szCs w:val="60"/>
            </w:rPr>
            <w:t xml:space="preserve">第五章 </w:t>
          </w:r>
          <w:r>
            <w:rPr>
              <w:rFonts w:eastAsia="宋体"/>
              <w:b/>
              <w:bCs/>
              <w:kern w:val="0"/>
              <w:szCs w:val="48"/>
            </w:rPr>
            <w:t>入围协议</w:t>
          </w:r>
          <w:r>
            <w:rPr>
              <w:rFonts w:hint="eastAsia" w:eastAsia="宋体"/>
              <w:b/>
              <w:bCs/>
              <w:kern w:val="0"/>
              <w:szCs w:val="48"/>
            </w:rPr>
            <w:t>..........................................................................</w:t>
          </w:r>
          <w:r>
            <w:rPr>
              <w:rFonts w:eastAsia="宋体"/>
              <w:b/>
              <w:bCs/>
              <w:szCs w:val="40"/>
            </w:rPr>
            <w:fldChar w:fldCharType="begin"/>
          </w:r>
          <w:r>
            <w:rPr>
              <w:rFonts w:eastAsia="宋体"/>
              <w:b/>
              <w:bCs/>
              <w:szCs w:val="40"/>
            </w:rPr>
            <w:instrText xml:space="preserve"> PAGEREF _Toc17159 \h </w:instrText>
          </w:r>
          <w:r>
            <w:rPr>
              <w:rFonts w:eastAsia="宋体"/>
              <w:b/>
              <w:bCs/>
              <w:szCs w:val="40"/>
            </w:rPr>
            <w:fldChar w:fldCharType="separate"/>
          </w:r>
          <w:r>
            <w:rPr>
              <w:rFonts w:eastAsia="宋体"/>
              <w:b/>
              <w:bCs/>
              <w:szCs w:val="40"/>
            </w:rPr>
            <w:t>66</w:t>
          </w:r>
          <w:r>
            <w:rPr>
              <w:rFonts w:eastAsia="宋体"/>
              <w:b/>
              <w:bCs/>
              <w:szCs w:val="40"/>
            </w:rPr>
            <w:fldChar w:fldCharType="end"/>
          </w:r>
          <w:r>
            <w:rPr>
              <w:rFonts w:eastAsia="宋体"/>
              <w:b/>
              <w:bCs/>
              <w:szCs w:val="40"/>
            </w:rPr>
            <w:fldChar w:fldCharType="end"/>
          </w:r>
        </w:p>
        <w:p>
          <w:pPr>
            <w:tabs>
              <w:tab w:val="right" w:leader="dot" w:pos="9638"/>
            </w:tabs>
            <w:ind w:firstLine="0" w:firstLineChars="0"/>
            <w:rPr>
              <w:rFonts w:eastAsia="宋体"/>
              <w:sz w:val="21"/>
            </w:rPr>
          </w:pPr>
          <w:r>
            <w:fldChar w:fldCharType="begin"/>
          </w:r>
          <w:r>
            <w:instrText xml:space="preserve"> HYPERLINK \l "_Toc12314" </w:instrText>
          </w:r>
          <w:r>
            <w:fldChar w:fldCharType="separate"/>
          </w:r>
          <w:r>
            <w:rPr>
              <w:rFonts w:eastAsia="宋体"/>
              <w:b/>
              <w:bCs/>
              <w:szCs w:val="40"/>
            </w:rPr>
            <w:t>第六章 资格文件格式</w:t>
          </w:r>
          <w:r>
            <w:rPr>
              <w:rFonts w:hint="eastAsia" w:eastAsia="宋体"/>
              <w:b/>
              <w:bCs/>
              <w:szCs w:val="40"/>
            </w:rPr>
            <w:t>..................................................................</w:t>
          </w:r>
          <w:r>
            <w:rPr>
              <w:rFonts w:eastAsia="宋体"/>
              <w:b/>
              <w:bCs/>
              <w:szCs w:val="40"/>
            </w:rPr>
            <w:fldChar w:fldCharType="begin"/>
          </w:r>
          <w:r>
            <w:rPr>
              <w:rFonts w:eastAsia="宋体"/>
              <w:b/>
              <w:bCs/>
              <w:szCs w:val="40"/>
            </w:rPr>
            <w:instrText xml:space="preserve"> PAGEREF _Toc12314 \h </w:instrText>
          </w:r>
          <w:r>
            <w:rPr>
              <w:rFonts w:eastAsia="宋体"/>
              <w:b/>
              <w:bCs/>
              <w:szCs w:val="40"/>
            </w:rPr>
            <w:fldChar w:fldCharType="separate"/>
          </w:r>
          <w:r>
            <w:rPr>
              <w:rFonts w:eastAsia="宋体"/>
              <w:b/>
              <w:bCs/>
              <w:szCs w:val="40"/>
            </w:rPr>
            <w:t>77</w:t>
          </w:r>
          <w:r>
            <w:rPr>
              <w:rFonts w:eastAsia="宋体"/>
              <w:b/>
              <w:bCs/>
              <w:szCs w:val="40"/>
            </w:rPr>
            <w:fldChar w:fldCharType="end"/>
          </w:r>
          <w:r>
            <w:rPr>
              <w:rFonts w:eastAsia="宋体"/>
              <w:b/>
              <w:bCs/>
              <w:szCs w:val="40"/>
            </w:rPr>
            <w:fldChar w:fldCharType="end"/>
          </w:r>
        </w:p>
        <w:p>
          <w:pPr>
            <w:tabs>
              <w:tab w:val="right" w:leader="dot" w:pos="8496"/>
            </w:tabs>
            <w:ind w:left="640" w:leftChars="200"/>
            <w:rPr>
              <w:rFonts w:eastAsia="宋体"/>
              <w:b/>
              <w:bCs/>
              <w:sz w:val="28"/>
              <w:szCs w:val="32"/>
            </w:rPr>
          </w:pPr>
          <w:r>
            <w:rPr>
              <w:rFonts w:eastAsia="宋体"/>
              <w:bCs/>
              <w:sz w:val="21"/>
              <w:szCs w:val="52"/>
            </w:rPr>
            <w:fldChar w:fldCharType="end"/>
          </w:r>
        </w:p>
      </w:sdtContent>
    </w:sdt>
    <w:p>
      <w:pPr>
        <w:tabs>
          <w:tab w:val="right" w:leader="dot" w:pos="8296"/>
        </w:tabs>
        <w:ind w:firstLine="560"/>
        <w:rPr>
          <w:rFonts w:eastAsia="宋体"/>
          <w:sz w:val="28"/>
          <w:szCs w:val="28"/>
        </w:rPr>
      </w:pPr>
    </w:p>
    <w:p>
      <w:pPr>
        <w:tabs>
          <w:tab w:val="right" w:leader="dot" w:pos="8306"/>
        </w:tabs>
        <w:spacing w:line="480" w:lineRule="auto"/>
        <w:ind w:firstLine="562"/>
        <w:rPr>
          <w:rFonts w:eastAsia="宋体"/>
          <w:b/>
          <w:sz w:val="28"/>
          <w:szCs w:val="28"/>
        </w:rPr>
      </w:pPr>
      <w:r>
        <w:rPr>
          <w:rFonts w:eastAsia="宋体"/>
          <w:b/>
          <w:sz w:val="28"/>
          <w:szCs w:val="28"/>
        </w:rPr>
        <w:fldChar w:fldCharType="begin"/>
      </w:r>
      <w:r>
        <w:rPr>
          <w:rFonts w:eastAsia="宋体"/>
          <w:b/>
          <w:sz w:val="28"/>
          <w:szCs w:val="28"/>
        </w:rPr>
        <w:instrText xml:space="preserve">TOC \o "1-1" \h \u </w:instrText>
      </w:r>
      <w:r>
        <w:rPr>
          <w:rFonts w:eastAsia="宋体"/>
          <w:b/>
          <w:sz w:val="28"/>
          <w:szCs w:val="28"/>
        </w:rPr>
        <w:fldChar w:fldCharType="separate"/>
      </w:r>
    </w:p>
    <w:p>
      <w:pPr>
        <w:overflowPunct/>
        <w:adjustRightInd/>
        <w:snapToGrid/>
        <w:spacing w:line="480" w:lineRule="auto"/>
        <w:ind w:firstLine="0" w:firstLineChars="0"/>
        <w:rPr>
          <w:rFonts w:eastAsia="宋体"/>
          <w:sz w:val="28"/>
          <w:szCs w:val="28"/>
        </w:rPr>
      </w:pPr>
      <w:r>
        <w:rPr>
          <w:rFonts w:eastAsia="宋体"/>
          <w:b/>
          <w:sz w:val="28"/>
          <w:szCs w:val="28"/>
        </w:rPr>
        <w:fldChar w:fldCharType="end"/>
      </w:r>
    </w:p>
    <w:p>
      <w:pPr>
        <w:shd w:val="clear" w:color="auto" w:fill="FFFFFF"/>
        <w:overflowPunct/>
        <w:adjustRightInd/>
        <w:snapToGrid/>
        <w:spacing w:line="360" w:lineRule="auto"/>
        <w:ind w:firstLine="0" w:firstLineChars="0"/>
        <w:jc w:val="left"/>
        <w:rPr>
          <w:rFonts w:eastAsia="宋体"/>
          <w:b/>
          <w:kern w:val="0"/>
          <w:sz w:val="36"/>
          <w:szCs w:val="36"/>
        </w:rPr>
      </w:pPr>
    </w:p>
    <w:p>
      <w:pPr>
        <w:ind w:firstLine="640"/>
        <w:sectPr>
          <w:footerReference r:id="rId18" w:type="first"/>
          <w:headerReference r:id="rId17" w:type="default"/>
          <w:pgSz w:w="11906" w:h="16838"/>
          <w:pgMar w:top="2098" w:right="1587" w:bottom="1984" w:left="1587" w:header="850" w:footer="1417" w:gutter="0"/>
          <w:cols w:space="720" w:num="1"/>
          <w:docGrid w:type="lines" w:linePitch="312" w:charSpace="0"/>
        </w:sectPr>
      </w:pPr>
      <w:bookmarkStart w:id="1" w:name="_Toc29007"/>
      <w:bookmarkStart w:id="2" w:name="_Toc481057143"/>
      <w:bookmarkStart w:id="3" w:name="_Hlk43897905"/>
    </w:p>
    <w:bookmarkEnd w:id="1"/>
    <w:bookmarkEnd w:id="2"/>
    <w:p>
      <w:pPr>
        <w:keepNext/>
        <w:keepLines/>
        <w:numPr>
          <w:ilvl w:val="255"/>
          <w:numId w:val="0"/>
        </w:numPr>
        <w:tabs>
          <w:tab w:val="left" w:pos="1410"/>
        </w:tabs>
        <w:spacing w:before="340" w:after="330" w:line="578" w:lineRule="auto"/>
        <w:jc w:val="center"/>
        <w:outlineLvl w:val="0"/>
        <w:rPr>
          <w:rFonts w:eastAsia="方正小标宋简体"/>
          <w:kern w:val="44"/>
          <w:sz w:val="44"/>
          <w:szCs w:val="44"/>
        </w:rPr>
      </w:pPr>
      <w:bookmarkStart w:id="4" w:name="_Toc23312"/>
      <w:r>
        <w:rPr>
          <w:rFonts w:hint="eastAsia" w:eastAsia="方正小标宋简体"/>
          <w:kern w:val="44"/>
          <w:sz w:val="44"/>
          <w:szCs w:val="44"/>
        </w:rPr>
        <w:t>第一章 资格审查</w:t>
      </w:r>
      <w:r>
        <w:rPr>
          <w:rFonts w:eastAsia="方正小标宋简体"/>
          <w:kern w:val="44"/>
          <w:sz w:val="44"/>
          <w:szCs w:val="44"/>
        </w:rPr>
        <w:t>公告</w:t>
      </w:r>
      <w:bookmarkEnd w:id="4"/>
    </w:p>
    <w:p>
      <w:pPr>
        <w:overflowPunct/>
        <w:adjustRightInd/>
        <w:snapToGrid/>
        <w:spacing w:line="560" w:lineRule="exact"/>
        <w:jc w:val="left"/>
        <w:rPr>
          <w:kern w:val="0"/>
          <w:szCs w:val="32"/>
          <w:u w:val="wave"/>
        </w:rPr>
      </w:pPr>
      <w:r>
        <w:rPr>
          <w:szCs w:val="32"/>
          <w:u w:val="wave"/>
        </w:rPr>
        <w:t>XXXX</w:t>
      </w:r>
      <w:r>
        <w:rPr>
          <w:kern w:val="0"/>
          <w:szCs w:val="32"/>
          <w:u w:val="wave"/>
        </w:rPr>
        <w:t>（采购代理机构）受</w:t>
      </w:r>
      <w:r>
        <w:rPr>
          <w:szCs w:val="32"/>
          <w:u w:val="wave"/>
        </w:rPr>
        <w:t>XXXX</w:t>
      </w:r>
      <w:r>
        <w:rPr>
          <w:kern w:val="0"/>
          <w:szCs w:val="32"/>
          <w:u w:val="wave"/>
        </w:rPr>
        <w:t>（采购人）委托，就</w:t>
      </w:r>
      <w:r>
        <w:rPr>
          <w:bCs/>
          <w:kern w:val="0"/>
          <w:szCs w:val="32"/>
          <w:u w:val="wave"/>
        </w:rPr>
        <w:t>XX地区</w:t>
      </w:r>
      <w:r>
        <w:rPr>
          <w:rFonts w:hint="eastAsia"/>
          <w:bCs/>
          <w:kern w:val="0"/>
          <w:szCs w:val="32"/>
          <w:u w:val="wave"/>
        </w:rPr>
        <w:t>中小学食材采购项目</w:t>
      </w:r>
      <w:r>
        <w:rPr>
          <w:kern w:val="0"/>
          <w:szCs w:val="32"/>
          <w:u w:val="wave"/>
        </w:rPr>
        <w:t>进行</w:t>
      </w:r>
      <w:r>
        <w:rPr>
          <w:rFonts w:hint="eastAsia"/>
          <w:kern w:val="0"/>
          <w:szCs w:val="32"/>
          <w:u w:val="wave"/>
        </w:rPr>
        <w:t>资格审查</w:t>
      </w:r>
      <w:r>
        <w:rPr>
          <w:kern w:val="0"/>
          <w:szCs w:val="32"/>
          <w:u w:val="wave"/>
        </w:rPr>
        <w:t>，现欢迎符合相关条件的</w:t>
      </w:r>
      <w:r>
        <w:rPr>
          <w:rFonts w:hint="eastAsia"/>
          <w:kern w:val="0"/>
          <w:szCs w:val="32"/>
          <w:u w:val="wave"/>
        </w:rPr>
        <w:t>资格审查</w:t>
      </w:r>
      <w:r>
        <w:rPr>
          <w:kern w:val="0"/>
          <w:szCs w:val="32"/>
          <w:u w:val="wave"/>
        </w:rPr>
        <w:t>申请人参加</w:t>
      </w:r>
      <w:r>
        <w:rPr>
          <w:rFonts w:hint="eastAsia"/>
          <w:kern w:val="0"/>
          <w:szCs w:val="32"/>
          <w:u w:val="wave"/>
        </w:rPr>
        <w:t>资格审查</w:t>
      </w:r>
      <w:r>
        <w:rPr>
          <w:kern w:val="0"/>
          <w:szCs w:val="32"/>
          <w:u w:val="wave"/>
        </w:rPr>
        <w:t>。</w:t>
      </w:r>
    </w:p>
    <w:p>
      <w:pPr>
        <w:shd w:val="clear" w:color="auto" w:fill="FFFFFF"/>
        <w:overflowPunct/>
        <w:adjustRightInd/>
        <w:snapToGrid/>
        <w:spacing w:line="560" w:lineRule="exact"/>
        <w:ind w:firstLine="640"/>
        <w:jc w:val="left"/>
        <w:rPr>
          <w:b/>
          <w:kern w:val="0"/>
          <w:szCs w:val="32"/>
        </w:rPr>
      </w:pPr>
      <w:r>
        <w:rPr>
          <w:rFonts w:eastAsia="黑体"/>
          <w:bCs/>
          <w:kern w:val="0"/>
          <w:szCs w:val="32"/>
        </w:rPr>
        <w:t xml:space="preserve">一、项目基本情况  </w:t>
      </w:r>
      <w:r>
        <w:rPr>
          <w:b/>
          <w:kern w:val="0"/>
          <w:szCs w:val="32"/>
        </w:rPr>
        <w:t xml:space="preserve"> </w:t>
      </w:r>
    </w:p>
    <w:p>
      <w:pPr>
        <w:shd w:val="clear" w:color="auto" w:fill="FFFFFF"/>
        <w:overflowPunct/>
        <w:adjustRightInd/>
        <w:snapToGrid/>
        <w:spacing w:line="560" w:lineRule="exact"/>
        <w:ind w:firstLine="640"/>
        <w:jc w:val="left"/>
        <w:rPr>
          <w:bCs/>
          <w:kern w:val="0"/>
          <w:szCs w:val="32"/>
        </w:rPr>
      </w:pPr>
      <w:r>
        <w:rPr>
          <w:bCs/>
          <w:kern w:val="0"/>
          <w:szCs w:val="32"/>
        </w:rPr>
        <w:t xml:space="preserve">1.1项目编号：XX </w:t>
      </w:r>
      <w:r>
        <w:rPr>
          <w:bCs/>
          <w:kern w:val="0"/>
          <w:szCs w:val="32"/>
        </w:rPr>
        <w:tab/>
      </w:r>
    </w:p>
    <w:p>
      <w:pPr>
        <w:shd w:val="clear" w:color="auto" w:fill="FFFFFF"/>
        <w:overflowPunct/>
        <w:adjustRightInd/>
        <w:snapToGrid/>
        <w:spacing w:line="560" w:lineRule="exact"/>
        <w:ind w:firstLine="640"/>
        <w:jc w:val="left"/>
        <w:rPr>
          <w:bCs/>
          <w:kern w:val="0"/>
          <w:szCs w:val="32"/>
        </w:rPr>
      </w:pPr>
      <w:r>
        <w:rPr>
          <w:bCs/>
          <w:kern w:val="0"/>
          <w:szCs w:val="32"/>
        </w:rPr>
        <w:t>1.2项目名称：XX地区</w:t>
      </w:r>
      <w:r>
        <w:rPr>
          <w:rFonts w:hint="eastAsia"/>
          <w:bCs/>
          <w:kern w:val="0"/>
          <w:szCs w:val="32"/>
        </w:rPr>
        <w:t>中小学食材采购项目</w:t>
      </w:r>
      <w:r>
        <w:rPr>
          <w:bCs/>
          <w:kern w:val="0"/>
          <w:szCs w:val="32"/>
        </w:rPr>
        <w:t> </w:t>
      </w:r>
    </w:p>
    <w:p>
      <w:pPr>
        <w:shd w:val="clear" w:color="auto" w:fill="FFFFFF"/>
        <w:overflowPunct/>
        <w:adjustRightInd/>
        <w:snapToGrid/>
        <w:spacing w:line="560" w:lineRule="exact"/>
        <w:ind w:firstLine="640"/>
        <w:jc w:val="left"/>
        <w:rPr>
          <w:bCs/>
          <w:kern w:val="0"/>
          <w:szCs w:val="32"/>
        </w:rPr>
      </w:pPr>
      <w:r>
        <w:rPr>
          <w:bCs/>
          <w:kern w:val="0"/>
          <w:szCs w:val="32"/>
        </w:rPr>
        <w:t>1.3采购方式：公开招标</w:t>
      </w:r>
    </w:p>
    <w:p>
      <w:pPr>
        <w:shd w:val="clear" w:color="auto" w:fill="FFFFFF"/>
        <w:overflowPunct/>
        <w:adjustRightInd/>
        <w:snapToGrid/>
        <w:spacing w:line="560" w:lineRule="exact"/>
        <w:ind w:firstLine="640"/>
        <w:jc w:val="left"/>
        <w:rPr>
          <w:bCs/>
          <w:kern w:val="0"/>
          <w:szCs w:val="32"/>
        </w:rPr>
      </w:pPr>
      <w:r>
        <w:rPr>
          <w:bCs/>
          <w:kern w:val="0"/>
          <w:szCs w:val="32"/>
        </w:rPr>
        <w:t>1.4预算总金额：XXX万元</w:t>
      </w:r>
    </w:p>
    <w:p>
      <w:pPr>
        <w:shd w:val="clear" w:color="auto" w:fill="FFFFFF"/>
        <w:overflowPunct/>
        <w:adjustRightInd/>
        <w:snapToGrid/>
        <w:spacing w:line="560" w:lineRule="exact"/>
        <w:ind w:firstLine="640"/>
        <w:jc w:val="left"/>
        <w:rPr>
          <w:bCs/>
          <w:kern w:val="0"/>
          <w:szCs w:val="32"/>
        </w:rPr>
      </w:pPr>
      <w:r>
        <w:rPr>
          <w:bCs/>
          <w:kern w:val="0"/>
          <w:szCs w:val="32"/>
        </w:rPr>
        <w:t>1.5</w:t>
      </w:r>
      <w:r>
        <w:rPr>
          <w:rFonts w:hint="eastAsia"/>
          <w:bCs/>
          <w:kern w:val="0"/>
          <w:szCs w:val="32"/>
        </w:rPr>
        <w:t>采购食材：</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 xml:space="preserve">一：XXXX/XXX/XXX预算金额：XXXX万元   </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 xml:space="preserve">二：XXXX/XXX/XXX预算金额：XXXX万元   </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三：XXXX/XXX/XXX预算金额：XXXX万元</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四：XXXX/XXX/XXX预算金额：XXXX万元</w:t>
      </w:r>
    </w:p>
    <w:p>
      <w:pPr>
        <w:shd w:val="clear" w:color="auto" w:fill="FFFFFF"/>
        <w:overflowPunct/>
        <w:adjustRightInd/>
        <w:snapToGrid/>
        <w:spacing w:line="560" w:lineRule="exact"/>
        <w:ind w:firstLine="640"/>
        <w:jc w:val="left"/>
        <w:rPr>
          <w:bCs/>
          <w:kern w:val="0"/>
          <w:szCs w:val="32"/>
        </w:rPr>
      </w:pPr>
      <w:r>
        <w:rPr>
          <w:bCs/>
          <w:kern w:val="0"/>
          <w:szCs w:val="32"/>
        </w:rPr>
        <w:t>.......</w:t>
      </w:r>
    </w:p>
    <w:p>
      <w:pPr>
        <w:shd w:val="clear" w:color="auto" w:fill="FFFFFF"/>
        <w:overflowPunct/>
        <w:adjustRightInd/>
        <w:snapToGrid/>
        <w:spacing w:line="560" w:lineRule="exact"/>
        <w:ind w:firstLine="640"/>
        <w:jc w:val="left"/>
        <w:rPr>
          <w:bCs/>
          <w:kern w:val="0"/>
          <w:szCs w:val="32"/>
        </w:rPr>
      </w:pPr>
      <w:r>
        <w:rPr>
          <w:bCs/>
          <w:kern w:val="0"/>
          <w:szCs w:val="32"/>
        </w:rPr>
        <w:t>1.6采购需求：为建立XXXX标准化、规范化的食材配送管理体系，加强成本核算，拟委托第三方社会机构提供食材物资供货、配送服务。学校范围包含XXX地区，预计食堂有XX人就餐，采购种类包含但不限于米面油、干货调味品、速冻食品、乳品、水饮品、烘焙零食、</w:t>
      </w:r>
      <w:r>
        <w:rPr>
          <w:rFonts w:hint="eastAsia"/>
          <w:bCs/>
          <w:kern w:val="0"/>
          <w:szCs w:val="32"/>
        </w:rPr>
        <w:t>水果、蔬菜、豆/粮制品、</w:t>
      </w:r>
      <w:r>
        <w:rPr>
          <w:bCs/>
          <w:kern w:val="0"/>
          <w:szCs w:val="32"/>
        </w:rPr>
        <w:t>禽肉蛋、猪肉、牛羊肉、水产等。</w:t>
      </w:r>
    </w:p>
    <w:p>
      <w:pPr>
        <w:shd w:val="clear" w:color="auto" w:fill="FFFFFF"/>
        <w:overflowPunct/>
        <w:adjustRightInd/>
        <w:snapToGrid/>
        <w:spacing w:line="560" w:lineRule="exact"/>
        <w:ind w:firstLine="640"/>
        <w:jc w:val="left"/>
        <w:rPr>
          <w:kern w:val="0"/>
          <w:szCs w:val="32"/>
          <w:u w:val="wave"/>
        </w:rPr>
      </w:pPr>
      <w:r>
        <w:rPr>
          <w:kern w:val="0"/>
          <w:szCs w:val="32"/>
          <w:u w:val="wave"/>
        </w:rPr>
        <w:t>1.7</w:t>
      </w:r>
      <w:r>
        <w:rPr>
          <w:rFonts w:hint="eastAsia"/>
          <w:kern w:val="0"/>
          <w:szCs w:val="32"/>
          <w:u w:val="wave"/>
        </w:rPr>
        <w:t>食材分组XXX至食材分组XXX</w:t>
      </w:r>
      <w:r>
        <w:rPr>
          <w:kern w:val="0"/>
          <w:szCs w:val="32"/>
          <w:u w:val="wave"/>
        </w:rPr>
        <w:t>采用“</w:t>
      </w:r>
      <w:r>
        <w:rPr>
          <w:rFonts w:hint="eastAsia"/>
          <w:kern w:val="0"/>
          <w:szCs w:val="32"/>
          <w:u w:val="wave"/>
        </w:rPr>
        <w:t>评标竞价</w:t>
      </w:r>
      <w:r>
        <w:rPr>
          <w:kern w:val="0"/>
          <w:szCs w:val="32"/>
          <w:u w:val="wave"/>
        </w:rPr>
        <w:t>”</w:t>
      </w:r>
      <w:r>
        <w:rPr>
          <w:rFonts w:hint="eastAsia"/>
          <w:kern w:val="0"/>
          <w:szCs w:val="32"/>
          <w:u w:val="wave"/>
        </w:rPr>
        <w:t>方式招标</w:t>
      </w:r>
      <w:r>
        <w:rPr>
          <w:kern w:val="0"/>
          <w:szCs w:val="32"/>
          <w:u w:val="wave"/>
        </w:rPr>
        <w:t>，招标周期为每XX招标一次；</w:t>
      </w:r>
      <w:r>
        <w:rPr>
          <w:rFonts w:hint="eastAsia"/>
          <w:kern w:val="0"/>
          <w:szCs w:val="32"/>
          <w:u w:val="wave"/>
        </w:rPr>
        <w:t>食材分组XXX至食材分组XXX</w:t>
      </w:r>
      <w:r>
        <w:rPr>
          <w:kern w:val="0"/>
          <w:szCs w:val="32"/>
          <w:u w:val="wave"/>
        </w:rPr>
        <w:t>采用“</w:t>
      </w:r>
      <w:r>
        <w:rPr>
          <w:rFonts w:hint="eastAsia"/>
          <w:kern w:val="0"/>
          <w:szCs w:val="32"/>
          <w:u w:val="wave"/>
        </w:rPr>
        <w:t>实际竞价</w:t>
      </w:r>
      <w:r>
        <w:rPr>
          <w:kern w:val="0"/>
          <w:szCs w:val="32"/>
          <w:u w:val="wave"/>
        </w:rPr>
        <w:t>”</w:t>
      </w:r>
      <w:r>
        <w:rPr>
          <w:rFonts w:hint="eastAsia"/>
          <w:kern w:val="0"/>
          <w:szCs w:val="32"/>
          <w:u w:val="wave"/>
        </w:rPr>
        <w:t>方式招标</w:t>
      </w:r>
      <w:r>
        <w:rPr>
          <w:kern w:val="0"/>
          <w:szCs w:val="32"/>
          <w:u w:val="wave"/>
        </w:rPr>
        <w:t>，招标周期为每XX招标一次。</w:t>
      </w:r>
    </w:p>
    <w:p>
      <w:pPr>
        <w:shd w:val="clear" w:color="auto" w:fill="FFFFFF"/>
        <w:overflowPunct/>
        <w:adjustRightInd/>
        <w:snapToGrid/>
        <w:spacing w:line="560" w:lineRule="exact"/>
        <w:ind w:firstLine="640"/>
        <w:jc w:val="left"/>
        <w:rPr>
          <w:kern w:val="0"/>
          <w:szCs w:val="32"/>
          <w:u w:val="wave"/>
        </w:rPr>
      </w:pPr>
      <w:r>
        <w:rPr>
          <w:kern w:val="0"/>
          <w:szCs w:val="32"/>
          <w:u w:val="wave"/>
        </w:rPr>
        <w:t>1.8入围资格期限：自入围协议签订之日起一年。</w:t>
      </w:r>
    </w:p>
    <w:p>
      <w:pPr>
        <w:shd w:val="clear" w:color="auto" w:fill="FFFFFF"/>
        <w:overflowPunct/>
        <w:adjustRightInd/>
        <w:snapToGrid/>
        <w:spacing w:line="560" w:lineRule="exact"/>
        <w:ind w:firstLine="640"/>
        <w:jc w:val="left"/>
        <w:rPr>
          <w:bCs/>
          <w:kern w:val="0"/>
          <w:szCs w:val="32"/>
          <w:u w:val="wave"/>
        </w:rPr>
      </w:pPr>
      <w:r>
        <w:rPr>
          <w:bCs/>
          <w:kern w:val="0"/>
          <w:szCs w:val="32"/>
          <w:u w:val="wave"/>
        </w:rPr>
        <w:t>1.9本项目（是/否）接受联合体投标：否。</w:t>
      </w:r>
    </w:p>
    <w:p>
      <w:pPr>
        <w:overflowPunct/>
        <w:adjustRightInd/>
        <w:snapToGrid/>
        <w:spacing w:line="560" w:lineRule="exact"/>
        <w:ind w:firstLine="640"/>
        <w:jc w:val="left"/>
        <w:rPr>
          <w:rFonts w:eastAsia="黑体"/>
          <w:kern w:val="0"/>
          <w:szCs w:val="32"/>
          <w:u w:val="single"/>
        </w:rPr>
      </w:pPr>
      <w:r>
        <w:rPr>
          <w:rFonts w:eastAsia="黑体"/>
          <w:szCs w:val="32"/>
          <w:lang w:val="zh-CN"/>
        </w:rPr>
        <w:t>二、</w:t>
      </w:r>
      <w:r>
        <w:rPr>
          <w:rFonts w:eastAsia="黑体"/>
          <w:kern w:val="0"/>
          <w:szCs w:val="32"/>
        </w:rPr>
        <w:t>投标人的</w:t>
      </w:r>
      <w:r>
        <w:rPr>
          <w:rFonts w:hint="eastAsia" w:eastAsia="黑体"/>
          <w:kern w:val="0"/>
          <w:szCs w:val="32"/>
        </w:rPr>
        <w:t>资格审查</w:t>
      </w:r>
      <w:r>
        <w:rPr>
          <w:rFonts w:eastAsia="黑体"/>
          <w:kern w:val="0"/>
          <w:szCs w:val="32"/>
        </w:rPr>
        <w:t>要求：</w:t>
      </w:r>
    </w:p>
    <w:p>
      <w:pPr>
        <w:shd w:val="clear" w:color="auto" w:fill="FFFFFF"/>
        <w:overflowPunct/>
        <w:adjustRightInd/>
        <w:snapToGrid/>
        <w:spacing w:line="560" w:lineRule="exact"/>
        <w:ind w:firstLine="672"/>
        <w:jc w:val="left"/>
        <w:rPr>
          <w:bCs/>
          <w:spacing w:val="8"/>
          <w:kern w:val="0"/>
          <w:szCs w:val="32"/>
          <w:u w:val="wave"/>
        </w:rPr>
      </w:pPr>
      <w:r>
        <w:rPr>
          <w:bCs/>
          <w:spacing w:val="8"/>
          <w:kern w:val="0"/>
          <w:szCs w:val="32"/>
          <w:u w:val="wave"/>
        </w:rPr>
        <w:t>2.1参照《中华人民共和国政府采购法》第二十二条规定：</w:t>
      </w:r>
    </w:p>
    <w:p>
      <w:pPr>
        <w:overflowPunct/>
        <w:adjustRightInd/>
        <w:snapToGrid/>
        <w:spacing w:line="560" w:lineRule="exact"/>
        <w:ind w:firstLine="640"/>
        <w:jc w:val="left"/>
        <w:rPr>
          <w:bCs/>
          <w:szCs w:val="32"/>
          <w:u w:val="wave"/>
        </w:rPr>
      </w:pPr>
      <w:bookmarkStart w:id="5" w:name="_Hlk67996638"/>
      <w:bookmarkStart w:id="6" w:name="_Hlk67648547"/>
      <w:bookmarkStart w:id="7" w:name="_Hlk44579672"/>
      <w:r>
        <w:rPr>
          <w:bCs/>
          <w:szCs w:val="32"/>
          <w:u w:val="wave"/>
        </w:rPr>
        <w:t>（1）具有独立</w:t>
      </w:r>
      <w:r>
        <w:rPr>
          <w:rFonts w:hint="eastAsia"/>
          <w:bCs/>
          <w:szCs w:val="32"/>
          <w:u w:val="wave"/>
        </w:rPr>
        <w:t>法人</w:t>
      </w:r>
      <w:r>
        <w:rPr>
          <w:bCs/>
          <w:szCs w:val="32"/>
          <w:u w:val="wave"/>
        </w:rPr>
        <w:t>（提供法人或其他组织的营业执照等证明文件，自然人的身份证明）；</w:t>
      </w:r>
    </w:p>
    <w:p>
      <w:pPr>
        <w:overflowPunct/>
        <w:adjustRightInd/>
        <w:snapToGrid/>
        <w:spacing w:line="560" w:lineRule="exact"/>
        <w:ind w:firstLine="640"/>
        <w:jc w:val="left"/>
        <w:rPr>
          <w:bCs/>
          <w:szCs w:val="32"/>
          <w:u w:val="wave"/>
        </w:rPr>
      </w:pPr>
      <w:r>
        <w:rPr>
          <w:bCs/>
          <w:szCs w:val="32"/>
          <w:u w:val="wave"/>
        </w:rPr>
        <w:t>（2）具有良好的商业信誉和健全的财务会计制度（提供参加本次采购活动前的会计报表，或银行出具的投标截止时间前六个月内银行出具的资信证明</w:t>
      </w:r>
      <w:r>
        <w:rPr>
          <w:rFonts w:hint="eastAsia"/>
          <w:bCs/>
          <w:szCs w:val="32"/>
          <w:u w:val="wave"/>
        </w:rPr>
        <w:t>，有免缴、缓缴等情况的须出示相关证明</w:t>
      </w:r>
      <w:r>
        <w:rPr>
          <w:bCs/>
          <w:szCs w:val="32"/>
          <w:u w:val="wave"/>
        </w:rPr>
        <w:t>）；</w:t>
      </w:r>
    </w:p>
    <w:p>
      <w:pPr>
        <w:overflowPunct/>
        <w:adjustRightInd/>
        <w:snapToGrid/>
        <w:spacing w:line="560" w:lineRule="exact"/>
        <w:ind w:firstLine="640"/>
        <w:jc w:val="left"/>
        <w:rPr>
          <w:bCs/>
          <w:szCs w:val="32"/>
          <w:u w:val="wave"/>
        </w:rPr>
      </w:pPr>
      <w:r>
        <w:rPr>
          <w:bCs/>
          <w:szCs w:val="32"/>
          <w:u w:val="wave"/>
        </w:rPr>
        <w:t>（3）具有履行合同所必需的设备和专业技术能力（根据项目需求提供履行合同所必需的设备和专业技术能力的声明或证明材料）</w:t>
      </w:r>
      <w:r>
        <w:rPr>
          <w:rFonts w:hint="eastAsia"/>
          <w:bCs/>
          <w:szCs w:val="32"/>
          <w:u w:val="wave"/>
        </w:rPr>
        <w:t>；</w:t>
      </w:r>
    </w:p>
    <w:p>
      <w:pPr>
        <w:overflowPunct/>
        <w:adjustRightInd/>
        <w:snapToGrid/>
        <w:spacing w:line="560" w:lineRule="exact"/>
        <w:ind w:firstLine="640"/>
        <w:jc w:val="left"/>
        <w:rPr>
          <w:bCs/>
          <w:szCs w:val="32"/>
          <w:u w:val="wave"/>
        </w:rPr>
      </w:pPr>
      <w:r>
        <w:rPr>
          <w:bCs/>
          <w:szCs w:val="32"/>
          <w:u w:val="wave"/>
        </w:rPr>
        <w:t>（4）具有依法缴纳税收和社会保障资金的良好记录（提供参加本次采购活动前一年内至少一个月缴纳社会保险的凭据及缴纳税收的凭据）；</w:t>
      </w:r>
    </w:p>
    <w:p>
      <w:pPr>
        <w:overflowPunct/>
        <w:adjustRightInd/>
        <w:snapToGrid/>
        <w:spacing w:line="560" w:lineRule="exact"/>
        <w:ind w:firstLine="640"/>
        <w:jc w:val="left"/>
        <w:rPr>
          <w:bCs/>
          <w:szCs w:val="32"/>
          <w:u w:val="wave"/>
        </w:rPr>
      </w:pPr>
      <w:r>
        <w:rPr>
          <w:bCs/>
          <w:szCs w:val="32"/>
          <w:u w:val="wave"/>
        </w:rPr>
        <w:t>（5）参加采购活动前三年内，在经营活动中没有重大违法记录（提供承诺书，格式详见</w:t>
      </w:r>
      <w:r>
        <w:rPr>
          <w:rFonts w:hint="eastAsia"/>
          <w:bCs/>
          <w:szCs w:val="32"/>
          <w:u w:val="wave"/>
        </w:rPr>
        <w:t>资格审查</w:t>
      </w:r>
      <w:r>
        <w:rPr>
          <w:bCs/>
          <w:szCs w:val="32"/>
          <w:u w:val="wave"/>
        </w:rPr>
        <w:t>文件第六章附件）；</w:t>
      </w:r>
    </w:p>
    <w:p>
      <w:pPr>
        <w:overflowPunct/>
        <w:adjustRightInd/>
        <w:snapToGrid/>
        <w:spacing w:line="560" w:lineRule="exact"/>
        <w:ind w:firstLine="640"/>
        <w:jc w:val="left"/>
        <w:rPr>
          <w:bCs/>
          <w:szCs w:val="32"/>
          <w:u w:val="wave"/>
        </w:rPr>
      </w:pPr>
      <w:r>
        <w:rPr>
          <w:bCs/>
          <w:szCs w:val="32"/>
          <w:u w:val="wave"/>
        </w:rPr>
        <w:t>（6）法律、行政法规规定的其他条件：无。</w:t>
      </w:r>
    </w:p>
    <w:p>
      <w:pPr>
        <w:shd w:val="clear" w:color="auto" w:fill="FFFFFF"/>
        <w:overflowPunct/>
        <w:adjustRightInd/>
        <w:snapToGrid/>
        <w:spacing w:line="560" w:lineRule="exact"/>
        <w:ind w:firstLine="672"/>
        <w:jc w:val="left"/>
        <w:rPr>
          <w:bCs/>
          <w:szCs w:val="32"/>
          <w:u w:val="wave"/>
        </w:rPr>
      </w:pPr>
      <w:r>
        <w:rPr>
          <w:bCs/>
          <w:spacing w:val="8"/>
          <w:kern w:val="0"/>
          <w:szCs w:val="32"/>
          <w:u w:val="wave"/>
        </w:rPr>
        <w:t>2.2</w:t>
      </w:r>
      <w:r>
        <w:rPr>
          <w:bCs/>
          <w:szCs w:val="32"/>
          <w:u w:val="wave"/>
        </w:rPr>
        <w:t>本项目特定资格要求</w:t>
      </w:r>
      <w:bookmarkEnd w:id="5"/>
      <w:r>
        <w:rPr>
          <w:bCs/>
          <w:szCs w:val="32"/>
          <w:u w:val="wave"/>
        </w:rPr>
        <w:t>：</w:t>
      </w:r>
      <w:bookmarkEnd w:id="6"/>
      <w:bookmarkEnd w:id="7"/>
      <w:bookmarkStart w:id="8" w:name="_Hlk68013806"/>
    </w:p>
    <w:p>
      <w:pPr>
        <w:shd w:val="clear" w:color="auto" w:fill="FFFFFF"/>
        <w:overflowPunct/>
        <w:adjustRightInd/>
        <w:snapToGrid/>
        <w:spacing w:line="560" w:lineRule="exact"/>
        <w:ind w:firstLine="640"/>
        <w:jc w:val="left"/>
        <w:rPr>
          <w:bCs/>
          <w:szCs w:val="32"/>
          <w:u w:val="wave"/>
        </w:rPr>
      </w:pPr>
      <w:r>
        <w:rPr>
          <w:bCs/>
          <w:szCs w:val="32"/>
          <w:u w:val="wave"/>
        </w:rPr>
        <w:t>（1）投标人</w:t>
      </w:r>
      <w:bookmarkStart w:id="9" w:name="_Hlk170374178"/>
      <w:r>
        <w:rPr>
          <w:bCs/>
          <w:szCs w:val="32"/>
          <w:u w:val="wave"/>
        </w:rPr>
        <w:t>须具有《食品经营许可证》</w:t>
      </w:r>
      <w:bookmarkEnd w:id="9"/>
      <w:r>
        <w:rPr>
          <w:bCs/>
          <w:szCs w:val="32"/>
          <w:u w:val="wave"/>
        </w:rPr>
        <w:t>或</w:t>
      </w:r>
      <w:r>
        <w:rPr>
          <w:rFonts w:hint="eastAsia"/>
          <w:bCs/>
          <w:szCs w:val="32"/>
          <w:u w:val="wave"/>
        </w:rPr>
        <w:t>市场监督管理部门的备案证明</w:t>
      </w:r>
      <w:r>
        <w:rPr>
          <w:bCs/>
          <w:szCs w:val="32"/>
          <w:u w:val="wave"/>
        </w:rPr>
        <w:t>、固定仓储设施、运输车辆、经营环境等内容，详见第三章</w:t>
      </w:r>
      <w:r>
        <w:rPr>
          <w:rFonts w:hint="eastAsia"/>
          <w:bCs/>
          <w:szCs w:val="32"/>
          <w:u w:val="wave"/>
        </w:rPr>
        <w:t>资格审查现场考察表</w:t>
      </w:r>
      <w:r>
        <w:rPr>
          <w:bCs/>
          <w:szCs w:val="32"/>
          <w:u w:val="wave"/>
        </w:rPr>
        <w:t>。</w:t>
      </w:r>
    </w:p>
    <w:p>
      <w:pPr>
        <w:shd w:val="clear" w:color="auto" w:fill="FFFFFF"/>
        <w:overflowPunct/>
        <w:adjustRightInd/>
        <w:snapToGrid/>
        <w:spacing w:line="560" w:lineRule="exact"/>
        <w:ind w:firstLine="640"/>
        <w:jc w:val="left"/>
        <w:rPr>
          <w:bCs/>
          <w:szCs w:val="32"/>
          <w:u w:val="wave"/>
        </w:rPr>
      </w:pPr>
      <w:r>
        <w:rPr>
          <w:bCs/>
          <w:szCs w:val="32"/>
          <w:u w:val="wave"/>
        </w:rPr>
        <w:t>（2）要求投标人具有固定仓储设施的，固定仓储设施必须与实际固定经营场所一致且为《食品经营许可证》或</w:t>
      </w:r>
      <w:r>
        <w:rPr>
          <w:rFonts w:hint="eastAsia"/>
          <w:bCs/>
          <w:szCs w:val="32"/>
          <w:u w:val="wave"/>
        </w:rPr>
        <w:t>市场监督管理部门的备案证明中</w:t>
      </w:r>
      <w:r>
        <w:rPr>
          <w:bCs/>
          <w:szCs w:val="32"/>
          <w:u w:val="wave"/>
        </w:rPr>
        <w:t>地址或仓库地址。后续食材配送均必须是从接受现场考察的固定仓储设施出发。配送场所需与所投</w:t>
      </w:r>
      <w:r>
        <w:rPr>
          <w:rFonts w:hint="eastAsia"/>
          <w:bCs/>
          <w:szCs w:val="32"/>
          <w:u w:val="wave"/>
        </w:rPr>
        <w:t>食材分组</w:t>
      </w:r>
      <w:r>
        <w:rPr>
          <w:bCs/>
          <w:szCs w:val="32"/>
          <w:u w:val="wave"/>
        </w:rPr>
        <w:t>的相关食材仓储要求相适配。</w:t>
      </w:r>
    </w:p>
    <w:p>
      <w:pPr>
        <w:shd w:val="clear" w:color="auto" w:fill="FFFFFF"/>
        <w:overflowPunct/>
        <w:adjustRightInd/>
        <w:snapToGrid/>
        <w:spacing w:line="560" w:lineRule="exact"/>
        <w:ind w:firstLine="640"/>
        <w:jc w:val="left"/>
        <w:rPr>
          <w:bCs/>
          <w:szCs w:val="32"/>
          <w:u w:val="wave"/>
        </w:rPr>
      </w:pPr>
      <w:r>
        <w:rPr>
          <w:bCs/>
          <w:szCs w:val="32"/>
          <w:u w:val="wave"/>
        </w:rPr>
        <w:t>（3）</w:t>
      </w:r>
      <w:r>
        <w:rPr>
          <w:rFonts w:hint="eastAsia"/>
          <w:bCs/>
          <w:szCs w:val="32"/>
          <w:u w:val="wave"/>
        </w:rPr>
        <w:t>资格审查</w:t>
      </w:r>
      <w:r>
        <w:rPr>
          <w:bCs/>
          <w:szCs w:val="32"/>
          <w:u w:val="wave"/>
        </w:rPr>
        <w:t>文件提交时间截止后，采购人将组织</w:t>
      </w:r>
      <w:r>
        <w:rPr>
          <w:rFonts w:hint="eastAsia"/>
          <w:bCs/>
          <w:szCs w:val="32"/>
          <w:u w:val="wave"/>
        </w:rPr>
        <w:t>资格审查工作组</w:t>
      </w:r>
      <w:r>
        <w:rPr>
          <w:bCs/>
          <w:szCs w:val="32"/>
          <w:u w:val="wave"/>
        </w:rPr>
        <w:t>到资格文件审查通过的潜在投标人的实际固定经营场所、仓储场所进行</w:t>
      </w:r>
      <w:r>
        <w:rPr>
          <w:rFonts w:hint="eastAsia"/>
          <w:bCs/>
          <w:szCs w:val="32"/>
          <w:u w:val="wave"/>
        </w:rPr>
        <w:t>现场考察</w:t>
      </w:r>
      <w:r>
        <w:rPr>
          <w:bCs/>
          <w:szCs w:val="32"/>
          <w:u w:val="wave"/>
        </w:rPr>
        <w:t>（以</w:t>
      </w:r>
      <w:r>
        <w:rPr>
          <w:rFonts w:hint="eastAsia"/>
          <w:szCs w:val="32"/>
          <w:u w:val="wave"/>
        </w:rPr>
        <w:t>资格审查</w:t>
      </w:r>
      <w:r>
        <w:rPr>
          <w:szCs w:val="32"/>
          <w:u w:val="wave"/>
        </w:rPr>
        <w:t>文件</w:t>
      </w:r>
      <w:r>
        <w:rPr>
          <w:bCs/>
          <w:szCs w:val="32"/>
          <w:u w:val="wave"/>
        </w:rPr>
        <w:t>中地址为准），考察时间另行通知。为了综合评价投标人的服务能力，由</w:t>
      </w:r>
      <w:r>
        <w:rPr>
          <w:rFonts w:hint="eastAsia"/>
          <w:bCs/>
          <w:szCs w:val="32"/>
          <w:u w:val="wave"/>
        </w:rPr>
        <w:t>资格审查工作组</w:t>
      </w:r>
      <w:r>
        <w:rPr>
          <w:bCs/>
          <w:szCs w:val="32"/>
          <w:u w:val="wave"/>
        </w:rPr>
        <w:t>对其功能区域、环境管理、设备管理、仓储管理、配送等进行</w:t>
      </w:r>
      <w:r>
        <w:rPr>
          <w:rFonts w:hint="eastAsia"/>
          <w:bCs/>
          <w:szCs w:val="32"/>
          <w:u w:val="wave"/>
        </w:rPr>
        <w:t>现场考察</w:t>
      </w:r>
      <w:r>
        <w:rPr>
          <w:bCs/>
          <w:szCs w:val="32"/>
          <w:u w:val="wave"/>
        </w:rPr>
        <w:t>，作为</w:t>
      </w:r>
      <w:r>
        <w:rPr>
          <w:rFonts w:hint="eastAsia"/>
          <w:bCs/>
          <w:szCs w:val="32"/>
          <w:u w:val="wave"/>
        </w:rPr>
        <w:t>资格审查</w:t>
      </w:r>
      <w:r>
        <w:rPr>
          <w:bCs/>
          <w:szCs w:val="32"/>
          <w:u w:val="wave"/>
        </w:rPr>
        <w:t>的依据。投标人应无条件配合核查团队，不得拒绝</w:t>
      </w:r>
      <w:r>
        <w:rPr>
          <w:rFonts w:hint="eastAsia"/>
          <w:bCs/>
          <w:szCs w:val="32"/>
          <w:u w:val="wave"/>
        </w:rPr>
        <w:t>资格审查工作组</w:t>
      </w:r>
      <w:r>
        <w:rPr>
          <w:bCs/>
          <w:szCs w:val="32"/>
          <w:u w:val="wave"/>
        </w:rPr>
        <w:t>为完成现场核查任务而提出的合理要求，否则视为</w:t>
      </w:r>
      <w:r>
        <w:rPr>
          <w:rFonts w:hint="eastAsia"/>
          <w:bCs/>
          <w:szCs w:val="32"/>
          <w:u w:val="wave"/>
        </w:rPr>
        <w:t>资格审查</w:t>
      </w:r>
      <w:r>
        <w:rPr>
          <w:bCs/>
          <w:szCs w:val="32"/>
          <w:u w:val="wave"/>
        </w:rPr>
        <w:t xml:space="preserve">不通过。 </w:t>
      </w:r>
    </w:p>
    <w:p>
      <w:pPr>
        <w:shd w:val="clear" w:color="auto" w:fill="FFFFFF"/>
        <w:overflowPunct/>
        <w:adjustRightInd/>
        <w:snapToGrid/>
        <w:spacing w:line="560" w:lineRule="exact"/>
        <w:ind w:firstLine="640"/>
        <w:jc w:val="left"/>
        <w:rPr>
          <w:bCs/>
          <w:szCs w:val="32"/>
          <w:u w:val="wave"/>
        </w:rPr>
      </w:pPr>
      <w:r>
        <w:rPr>
          <w:bCs/>
          <w:szCs w:val="32"/>
          <w:u w:val="wave"/>
        </w:rPr>
        <w:t>（4）其他资格要求详见第三章</w:t>
      </w:r>
      <w:r>
        <w:rPr>
          <w:rFonts w:hint="eastAsia"/>
          <w:bCs/>
          <w:szCs w:val="32"/>
          <w:u w:val="wave"/>
        </w:rPr>
        <w:t>资格审查现场考察表</w:t>
      </w:r>
      <w:r>
        <w:rPr>
          <w:bCs/>
          <w:szCs w:val="32"/>
          <w:u w:val="wave"/>
        </w:rPr>
        <w:t>。</w:t>
      </w:r>
    </w:p>
    <w:bookmarkEnd w:id="8"/>
    <w:p>
      <w:pPr>
        <w:shd w:val="clear" w:color="auto" w:fill="FFFFFF"/>
        <w:overflowPunct/>
        <w:adjustRightInd/>
        <w:snapToGrid/>
        <w:spacing w:line="560" w:lineRule="exact"/>
        <w:ind w:firstLine="640"/>
        <w:jc w:val="left"/>
        <w:rPr>
          <w:rFonts w:eastAsia="黑体"/>
          <w:kern w:val="0"/>
          <w:szCs w:val="32"/>
        </w:rPr>
      </w:pPr>
      <w:r>
        <w:rPr>
          <w:rFonts w:eastAsia="黑体"/>
          <w:kern w:val="0"/>
          <w:szCs w:val="32"/>
        </w:rPr>
        <w:t>三、获取</w:t>
      </w:r>
      <w:r>
        <w:rPr>
          <w:rFonts w:hint="eastAsia" w:eastAsia="黑体"/>
          <w:kern w:val="0"/>
          <w:szCs w:val="32"/>
        </w:rPr>
        <w:t>资格审查</w:t>
      </w:r>
      <w:r>
        <w:rPr>
          <w:rFonts w:eastAsia="黑体"/>
          <w:kern w:val="0"/>
          <w:szCs w:val="32"/>
        </w:rPr>
        <w:t>文件</w:t>
      </w:r>
    </w:p>
    <w:p>
      <w:pPr>
        <w:shd w:val="clear" w:color="auto" w:fill="FFFFFF"/>
        <w:overflowPunct/>
        <w:adjustRightInd/>
        <w:snapToGrid/>
        <w:spacing w:line="560" w:lineRule="exact"/>
        <w:ind w:firstLine="640"/>
        <w:jc w:val="left"/>
        <w:rPr>
          <w:kern w:val="0"/>
          <w:szCs w:val="32"/>
        </w:rPr>
      </w:pPr>
      <w:r>
        <w:rPr>
          <w:kern w:val="0"/>
          <w:szCs w:val="32"/>
        </w:rPr>
        <w:t>3.1时间：XXXX年XX月XX日至XXXX年XX月XX日，每天上午XX时至XX时，下午XX时至XX时（北京时间，法定节假日除外）。</w:t>
      </w:r>
    </w:p>
    <w:p>
      <w:pPr>
        <w:shd w:val="clear" w:color="auto" w:fill="FFFFFF"/>
        <w:overflowPunct/>
        <w:adjustRightInd/>
        <w:snapToGrid/>
        <w:spacing w:line="560" w:lineRule="exact"/>
        <w:ind w:firstLine="640"/>
        <w:jc w:val="left"/>
        <w:rPr>
          <w:kern w:val="0"/>
          <w:szCs w:val="32"/>
        </w:rPr>
      </w:pPr>
      <w:r>
        <w:rPr>
          <w:kern w:val="0"/>
          <w:szCs w:val="32"/>
        </w:rPr>
        <w:t>3.2 获取方式：凡有意向参加本次采购的投标人自行携带营业执照复印件、授权代表授权书（须注明联系人、联系方式、电话、邮箱、所投</w:t>
      </w:r>
      <w:r>
        <w:rPr>
          <w:rFonts w:hint="eastAsia"/>
          <w:kern w:val="0"/>
          <w:szCs w:val="32"/>
        </w:rPr>
        <w:t>食材分组</w:t>
      </w:r>
      <w:r>
        <w:rPr>
          <w:kern w:val="0"/>
          <w:szCs w:val="32"/>
        </w:rPr>
        <w:t>）加盖公章至XXXXXX获取。</w:t>
      </w:r>
    </w:p>
    <w:p>
      <w:pPr>
        <w:shd w:val="clear" w:color="auto" w:fill="FFFFFF"/>
        <w:overflowPunct/>
        <w:adjustRightInd/>
        <w:snapToGrid/>
        <w:spacing w:line="560" w:lineRule="exact"/>
        <w:ind w:firstLine="640"/>
        <w:jc w:val="left"/>
        <w:rPr>
          <w:kern w:val="0"/>
          <w:szCs w:val="32"/>
        </w:rPr>
      </w:pPr>
      <w:r>
        <w:rPr>
          <w:kern w:val="0"/>
          <w:szCs w:val="32"/>
        </w:rPr>
        <w:t xml:space="preserve">3.3联系人：XXXX </w:t>
      </w:r>
    </w:p>
    <w:p>
      <w:pPr>
        <w:shd w:val="clear" w:color="auto" w:fill="FFFFFF"/>
        <w:overflowPunct/>
        <w:adjustRightInd/>
        <w:snapToGrid/>
        <w:spacing w:line="560" w:lineRule="exact"/>
        <w:ind w:firstLine="640"/>
        <w:jc w:val="left"/>
        <w:rPr>
          <w:szCs w:val="32"/>
        </w:rPr>
      </w:pPr>
      <w:r>
        <w:rPr>
          <w:kern w:val="0"/>
          <w:szCs w:val="32"/>
        </w:rPr>
        <w:t>3.4联系电话：XXXXX</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四、</w:t>
      </w:r>
      <w:bookmarkStart w:id="10" w:name="_Hlk44579106"/>
      <w:r>
        <w:rPr>
          <w:rFonts w:eastAsia="黑体"/>
          <w:bCs/>
          <w:kern w:val="0"/>
          <w:szCs w:val="32"/>
        </w:rPr>
        <w:t>提交资格文件开始时间、截止时间和地点</w:t>
      </w:r>
      <w:bookmarkEnd w:id="10"/>
    </w:p>
    <w:p>
      <w:pPr>
        <w:shd w:val="clear" w:color="auto" w:fill="FFFFFF"/>
        <w:overflowPunct/>
        <w:adjustRightInd/>
        <w:snapToGrid/>
        <w:spacing w:line="560" w:lineRule="exact"/>
        <w:ind w:firstLine="640"/>
        <w:jc w:val="left"/>
        <w:rPr>
          <w:kern w:val="0"/>
          <w:szCs w:val="32"/>
          <w:u w:val="single"/>
        </w:rPr>
      </w:pPr>
      <w:bookmarkStart w:id="11" w:name="_Hlk44575721"/>
      <w:r>
        <w:rPr>
          <w:kern w:val="0"/>
          <w:szCs w:val="32"/>
        </w:rPr>
        <w:t>4.1时间：</w:t>
      </w:r>
      <w:bookmarkEnd w:id="11"/>
      <w:r>
        <w:rPr>
          <w:kern w:val="0"/>
          <w:szCs w:val="32"/>
        </w:rPr>
        <w:t>XXXX年XX月XX日XX点XX分</w:t>
      </w:r>
      <w:r>
        <w:rPr>
          <w:bCs/>
          <w:szCs w:val="32"/>
        </w:rPr>
        <w:t>—</w:t>
      </w:r>
      <w:r>
        <w:rPr>
          <w:kern w:val="0"/>
          <w:szCs w:val="32"/>
        </w:rPr>
        <w:t>XXXX年XX月XX日XX点XX分（北京时间）；</w:t>
      </w:r>
    </w:p>
    <w:p>
      <w:pPr>
        <w:shd w:val="clear" w:color="auto" w:fill="FFFFFF"/>
        <w:overflowPunct/>
        <w:adjustRightInd/>
        <w:snapToGrid/>
        <w:spacing w:line="560" w:lineRule="exact"/>
        <w:ind w:firstLine="640"/>
        <w:jc w:val="left"/>
        <w:rPr>
          <w:kern w:val="0"/>
          <w:szCs w:val="32"/>
        </w:rPr>
      </w:pPr>
      <w:r>
        <w:rPr>
          <w:kern w:val="0"/>
          <w:szCs w:val="32"/>
        </w:rPr>
        <w:t>4.2地点：XXXXXXXXXXX。</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五、开启</w:t>
      </w:r>
    </w:p>
    <w:p>
      <w:pPr>
        <w:shd w:val="clear" w:color="auto" w:fill="FFFFFF"/>
        <w:overflowPunct/>
        <w:adjustRightInd/>
        <w:snapToGrid/>
        <w:spacing w:line="560" w:lineRule="exact"/>
        <w:ind w:firstLine="640"/>
        <w:jc w:val="left"/>
        <w:rPr>
          <w:kern w:val="0"/>
          <w:szCs w:val="32"/>
        </w:rPr>
      </w:pPr>
      <w:r>
        <w:rPr>
          <w:kern w:val="0"/>
          <w:szCs w:val="32"/>
        </w:rPr>
        <w:t>5.1时间：XXXX年XX月XX日XX点XX分</w:t>
      </w:r>
      <w:r>
        <w:rPr>
          <w:bCs/>
          <w:szCs w:val="32"/>
        </w:rPr>
        <w:t>—</w:t>
      </w:r>
      <w:r>
        <w:rPr>
          <w:kern w:val="0"/>
          <w:szCs w:val="32"/>
        </w:rPr>
        <w:t>XXXX年XX月XX日XX点XX分（北京时间）；</w:t>
      </w:r>
    </w:p>
    <w:p>
      <w:pPr>
        <w:shd w:val="clear" w:color="auto" w:fill="FFFFFF"/>
        <w:overflowPunct/>
        <w:adjustRightInd/>
        <w:snapToGrid/>
        <w:spacing w:line="560" w:lineRule="exact"/>
        <w:ind w:firstLine="640"/>
        <w:jc w:val="left"/>
        <w:rPr>
          <w:b/>
          <w:szCs w:val="32"/>
        </w:rPr>
      </w:pPr>
      <w:r>
        <w:rPr>
          <w:kern w:val="0"/>
          <w:szCs w:val="32"/>
        </w:rPr>
        <w:t>5.2地点：XXXXXXXXXXX。</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六、其他补充事宜</w:t>
      </w:r>
    </w:p>
    <w:p>
      <w:pPr>
        <w:shd w:val="clear" w:color="auto" w:fill="FFFFFF"/>
        <w:overflowPunct/>
        <w:adjustRightInd/>
        <w:snapToGrid/>
        <w:spacing w:line="560" w:lineRule="exact"/>
        <w:ind w:firstLine="640"/>
        <w:jc w:val="left"/>
        <w:rPr>
          <w:bCs/>
          <w:kern w:val="0"/>
          <w:szCs w:val="32"/>
          <w:u w:val="wave"/>
        </w:rPr>
      </w:pPr>
      <w:r>
        <w:rPr>
          <w:bCs/>
          <w:kern w:val="0"/>
          <w:szCs w:val="32"/>
          <w:u w:val="wave"/>
        </w:rPr>
        <w:t>6.1本项目</w:t>
      </w:r>
      <w:r>
        <w:rPr>
          <w:rFonts w:hint="eastAsia"/>
          <w:bCs/>
          <w:kern w:val="0"/>
          <w:szCs w:val="32"/>
          <w:u w:val="wave"/>
        </w:rPr>
        <w:t>资格审查</w:t>
      </w:r>
      <w:r>
        <w:rPr>
          <w:bCs/>
          <w:kern w:val="0"/>
          <w:szCs w:val="32"/>
          <w:u w:val="wave"/>
        </w:rPr>
        <w:t>采用合格制，凡符合第一章投标人的</w:t>
      </w:r>
      <w:r>
        <w:rPr>
          <w:rFonts w:hint="eastAsia"/>
          <w:bCs/>
          <w:kern w:val="0"/>
          <w:szCs w:val="32"/>
          <w:u w:val="wave"/>
        </w:rPr>
        <w:t>资格审查</w:t>
      </w:r>
      <w:r>
        <w:rPr>
          <w:bCs/>
          <w:kern w:val="0"/>
          <w:szCs w:val="32"/>
          <w:u w:val="wave"/>
        </w:rPr>
        <w:t>要求</w:t>
      </w:r>
      <w:r>
        <w:rPr>
          <w:rFonts w:hint="eastAsia"/>
          <w:bCs/>
          <w:kern w:val="0"/>
          <w:szCs w:val="32"/>
          <w:u w:val="wave"/>
        </w:rPr>
        <w:t>且现场考察合格后</w:t>
      </w:r>
      <w:r>
        <w:rPr>
          <w:bCs/>
          <w:kern w:val="0"/>
          <w:szCs w:val="32"/>
          <w:u w:val="wave"/>
        </w:rPr>
        <w:t>的投标人</w:t>
      </w:r>
      <w:r>
        <w:rPr>
          <w:rFonts w:hint="eastAsia"/>
          <w:bCs/>
          <w:kern w:val="0"/>
          <w:szCs w:val="32"/>
          <w:u w:val="wave"/>
        </w:rPr>
        <w:t>，则算作</w:t>
      </w:r>
      <w:r>
        <w:rPr>
          <w:bCs/>
          <w:kern w:val="0"/>
          <w:szCs w:val="32"/>
          <w:u w:val="wave"/>
        </w:rPr>
        <w:t>通过资格审查</w:t>
      </w:r>
      <w:r>
        <w:rPr>
          <w:rFonts w:hint="eastAsia"/>
          <w:bCs/>
          <w:kern w:val="0"/>
          <w:szCs w:val="32"/>
          <w:u w:val="wave"/>
        </w:rPr>
        <w:t>，</w:t>
      </w:r>
      <w:r>
        <w:rPr>
          <w:bCs/>
          <w:kern w:val="0"/>
          <w:szCs w:val="32"/>
          <w:u w:val="wave"/>
        </w:rPr>
        <w:t>为下一阶段采购正式参与人。</w:t>
      </w:r>
    </w:p>
    <w:p>
      <w:pPr>
        <w:shd w:val="clear" w:color="auto" w:fill="FFFFFF"/>
        <w:overflowPunct/>
        <w:adjustRightInd/>
        <w:snapToGrid/>
        <w:spacing w:line="560" w:lineRule="exact"/>
        <w:ind w:firstLine="640"/>
        <w:jc w:val="left"/>
        <w:rPr>
          <w:szCs w:val="32"/>
          <w:u w:val="wave"/>
        </w:rPr>
      </w:pPr>
      <w:r>
        <w:rPr>
          <w:bCs/>
          <w:kern w:val="0"/>
          <w:szCs w:val="32"/>
          <w:u w:val="wave"/>
        </w:rPr>
        <w:t>6.2本项目在“江苏省学校阳光食堂”网站发布公告（其他媒体转载无效）。</w:t>
      </w:r>
    </w:p>
    <w:p>
      <w:pPr>
        <w:overflowPunct/>
        <w:adjustRightInd/>
        <w:snapToGrid/>
        <w:spacing w:line="560" w:lineRule="exact"/>
        <w:ind w:firstLine="640"/>
        <w:jc w:val="left"/>
        <w:rPr>
          <w:bCs/>
          <w:szCs w:val="32"/>
          <w:u w:val="wave"/>
        </w:rPr>
      </w:pPr>
      <w:r>
        <w:rPr>
          <w:bCs/>
          <w:szCs w:val="32"/>
          <w:u w:val="wave"/>
        </w:rPr>
        <w:t>6.3</w:t>
      </w:r>
      <w:r>
        <w:rPr>
          <w:rFonts w:hint="eastAsia"/>
          <w:bCs/>
          <w:szCs w:val="32"/>
          <w:u w:val="wave"/>
        </w:rPr>
        <w:t>勘查现场</w:t>
      </w:r>
      <w:r>
        <w:rPr>
          <w:bCs/>
          <w:szCs w:val="32"/>
          <w:u w:val="wave"/>
        </w:rPr>
        <w:t>或答疑：采购人不统一组织，有需要的投标人可自行勘察。</w:t>
      </w:r>
    </w:p>
    <w:p>
      <w:pPr>
        <w:overflowPunct/>
        <w:adjustRightInd/>
        <w:snapToGrid/>
        <w:spacing w:line="560" w:lineRule="exact"/>
        <w:ind w:firstLine="640"/>
        <w:jc w:val="left"/>
        <w:rPr>
          <w:bCs/>
          <w:szCs w:val="32"/>
          <w:u w:val="wave"/>
        </w:rPr>
      </w:pPr>
      <w:r>
        <w:rPr>
          <w:bCs/>
          <w:szCs w:val="32"/>
          <w:u w:val="wave"/>
        </w:rPr>
        <w:t>6.4拒绝下述投标人参加本次采购活动</w:t>
      </w:r>
    </w:p>
    <w:p>
      <w:pPr>
        <w:overflowPunct/>
        <w:adjustRightInd/>
        <w:snapToGrid/>
        <w:spacing w:line="560" w:lineRule="exact"/>
        <w:ind w:firstLine="640"/>
        <w:jc w:val="left"/>
        <w:rPr>
          <w:bCs/>
          <w:szCs w:val="32"/>
          <w:u w:val="wave"/>
        </w:rPr>
      </w:pPr>
      <w:r>
        <w:rPr>
          <w:bCs/>
          <w:szCs w:val="32"/>
          <w:u w:val="wave"/>
        </w:rPr>
        <w:t>（1）投标人单位负责人为同一人或者存在直接控股、管理关系的不同投标人，不得参加同一合同项下的采购活动；</w:t>
      </w:r>
    </w:p>
    <w:p>
      <w:pPr>
        <w:overflowPunct/>
        <w:adjustRightInd/>
        <w:snapToGrid/>
        <w:spacing w:line="560" w:lineRule="exact"/>
        <w:ind w:firstLine="640"/>
        <w:jc w:val="left"/>
        <w:rPr>
          <w:bCs/>
          <w:szCs w:val="32"/>
          <w:u w:val="wave"/>
        </w:rPr>
      </w:pPr>
      <w:r>
        <w:rPr>
          <w:bCs/>
          <w:szCs w:val="32"/>
          <w:u w:val="wave"/>
        </w:rPr>
        <w:t>（</w:t>
      </w:r>
      <w:r>
        <w:rPr>
          <w:rFonts w:hint="eastAsia"/>
          <w:bCs/>
          <w:szCs w:val="32"/>
          <w:u w:val="wave"/>
        </w:rPr>
        <w:t>2</w:t>
      </w:r>
      <w:r>
        <w:rPr>
          <w:bCs/>
          <w:szCs w:val="32"/>
          <w:u w:val="wave"/>
        </w:rPr>
        <w:t>）投标人被“信用中国”网站（www.creditchina.gov.cn）、“中国政府采购网”(www.ccgp.gov.cn)列入失信被执行人、重大税收违法案件当事人名单、政府采购严重违法失信行为记录名单。</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七、对本次招标提出询问，请按以下方式联系。</w:t>
      </w:r>
    </w:p>
    <w:p>
      <w:pPr>
        <w:shd w:val="clear" w:color="auto" w:fill="FFFFFF"/>
        <w:overflowPunct/>
        <w:adjustRightInd/>
        <w:snapToGrid/>
        <w:spacing w:line="560" w:lineRule="exact"/>
        <w:ind w:firstLine="640"/>
        <w:jc w:val="left"/>
        <w:rPr>
          <w:bCs/>
          <w:kern w:val="0"/>
          <w:szCs w:val="32"/>
        </w:rPr>
      </w:pPr>
      <w:r>
        <w:rPr>
          <w:bCs/>
          <w:kern w:val="0"/>
          <w:szCs w:val="32"/>
        </w:rPr>
        <w:t>7.1采购人信息</w:t>
      </w:r>
    </w:p>
    <w:p>
      <w:pPr>
        <w:shd w:val="clear" w:color="auto" w:fill="FFFFFF"/>
        <w:overflowPunct/>
        <w:adjustRightInd/>
        <w:snapToGrid/>
        <w:spacing w:line="560" w:lineRule="exact"/>
        <w:ind w:firstLine="640"/>
        <w:jc w:val="left"/>
        <w:rPr>
          <w:bCs/>
          <w:kern w:val="0"/>
          <w:szCs w:val="32"/>
        </w:rPr>
      </w:pPr>
      <w:r>
        <w:rPr>
          <w:bCs/>
          <w:kern w:val="0"/>
          <w:szCs w:val="32"/>
        </w:rPr>
        <w:t>名  称：XXXX</w:t>
      </w:r>
    </w:p>
    <w:p>
      <w:pPr>
        <w:shd w:val="clear" w:color="auto" w:fill="FFFFFF"/>
        <w:overflowPunct/>
        <w:adjustRightInd/>
        <w:snapToGrid/>
        <w:spacing w:line="560" w:lineRule="exact"/>
        <w:ind w:firstLine="640"/>
        <w:jc w:val="left"/>
        <w:rPr>
          <w:bCs/>
          <w:kern w:val="0"/>
          <w:szCs w:val="32"/>
        </w:rPr>
      </w:pPr>
      <w:r>
        <w:rPr>
          <w:bCs/>
          <w:kern w:val="0"/>
          <w:szCs w:val="32"/>
        </w:rPr>
        <w:t>地  址：XXXX</w:t>
      </w:r>
    </w:p>
    <w:p>
      <w:pPr>
        <w:shd w:val="clear" w:color="auto" w:fill="FFFFFF"/>
        <w:overflowPunct/>
        <w:adjustRightInd/>
        <w:snapToGrid/>
        <w:spacing w:line="560" w:lineRule="exact"/>
        <w:ind w:firstLine="640"/>
        <w:jc w:val="left"/>
        <w:rPr>
          <w:bCs/>
          <w:kern w:val="0"/>
          <w:szCs w:val="32"/>
        </w:rPr>
      </w:pPr>
      <w:r>
        <w:rPr>
          <w:bCs/>
          <w:kern w:val="0"/>
          <w:szCs w:val="32"/>
        </w:rPr>
        <w:t>联系人：XXXX</w:t>
      </w:r>
    </w:p>
    <w:p>
      <w:pPr>
        <w:shd w:val="clear" w:color="auto" w:fill="FFFFFF"/>
        <w:overflowPunct/>
        <w:adjustRightInd/>
        <w:snapToGrid/>
        <w:spacing w:line="560" w:lineRule="exact"/>
        <w:ind w:firstLine="640"/>
        <w:jc w:val="left"/>
        <w:rPr>
          <w:b/>
          <w:bCs/>
          <w:kern w:val="0"/>
          <w:szCs w:val="32"/>
        </w:rPr>
      </w:pPr>
      <w:r>
        <w:rPr>
          <w:bCs/>
          <w:kern w:val="0"/>
          <w:szCs w:val="32"/>
        </w:rPr>
        <w:t>联系电话：XXXX</w:t>
      </w:r>
    </w:p>
    <w:p>
      <w:pPr>
        <w:shd w:val="clear" w:color="auto" w:fill="FFFFFF"/>
        <w:overflowPunct/>
        <w:adjustRightInd/>
        <w:snapToGrid/>
        <w:spacing w:line="560" w:lineRule="exact"/>
        <w:ind w:firstLine="640"/>
        <w:jc w:val="left"/>
        <w:rPr>
          <w:bCs/>
          <w:kern w:val="0"/>
          <w:szCs w:val="32"/>
        </w:rPr>
      </w:pPr>
      <w:r>
        <w:rPr>
          <w:bCs/>
          <w:kern w:val="0"/>
          <w:szCs w:val="32"/>
        </w:rPr>
        <w:t>7.2采购代理机构信息</w:t>
      </w:r>
    </w:p>
    <w:p>
      <w:pPr>
        <w:shd w:val="clear" w:color="auto" w:fill="FFFFFF"/>
        <w:overflowPunct/>
        <w:adjustRightInd/>
        <w:snapToGrid/>
        <w:spacing w:line="560" w:lineRule="exact"/>
        <w:ind w:firstLine="640"/>
        <w:jc w:val="left"/>
        <w:rPr>
          <w:b/>
          <w:kern w:val="0"/>
          <w:szCs w:val="32"/>
        </w:rPr>
      </w:pPr>
      <w:r>
        <w:rPr>
          <w:bCs/>
          <w:kern w:val="0"/>
          <w:szCs w:val="32"/>
        </w:rPr>
        <w:t>名  称：XXXX</w:t>
      </w:r>
    </w:p>
    <w:p>
      <w:pPr>
        <w:overflowPunct/>
        <w:adjustRightInd/>
        <w:snapToGrid/>
        <w:spacing w:line="560" w:lineRule="exact"/>
        <w:ind w:firstLine="640"/>
        <w:jc w:val="left"/>
        <w:rPr>
          <w:szCs w:val="32"/>
          <w:lang w:val="zh-CN"/>
        </w:rPr>
      </w:pPr>
      <w:r>
        <w:rPr>
          <w:szCs w:val="32"/>
          <w:lang w:val="zh-CN"/>
        </w:rPr>
        <w:t>地  址：XXXX</w:t>
      </w:r>
    </w:p>
    <w:p>
      <w:pPr>
        <w:overflowPunct/>
        <w:adjustRightInd/>
        <w:snapToGrid/>
        <w:spacing w:line="560" w:lineRule="exact"/>
        <w:ind w:firstLine="640"/>
        <w:jc w:val="left"/>
        <w:rPr>
          <w:szCs w:val="32"/>
          <w:lang w:val="zh-CN"/>
        </w:rPr>
      </w:pPr>
      <w:r>
        <w:rPr>
          <w:szCs w:val="32"/>
          <w:lang w:val="zh-CN"/>
        </w:rPr>
        <w:t>邮  箱：XXXX</w:t>
      </w:r>
    </w:p>
    <w:p>
      <w:pPr>
        <w:overflowPunct/>
        <w:adjustRightInd/>
        <w:snapToGrid/>
        <w:spacing w:line="560" w:lineRule="exact"/>
        <w:ind w:firstLine="640"/>
        <w:jc w:val="left"/>
        <w:rPr>
          <w:szCs w:val="32"/>
          <w:lang w:val="zh-CN"/>
        </w:rPr>
      </w:pPr>
      <w:r>
        <w:rPr>
          <w:szCs w:val="32"/>
          <w:lang w:val="zh-CN"/>
        </w:rPr>
        <w:t>联系人：XXXX</w:t>
      </w:r>
    </w:p>
    <w:p>
      <w:pPr>
        <w:overflowPunct/>
        <w:adjustRightInd/>
        <w:snapToGrid/>
        <w:spacing w:line="560" w:lineRule="exact"/>
        <w:ind w:firstLine="640"/>
        <w:jc w:val="left"/>
        <w:rPr>
          <w:szCs w:val="32"/>
        </w:rPr>
      </w:pPr>
      <w:r>
        <w:rPr>
          <w:szCs w:val="32"/>
          <w:lang w:val="zh-CN"/>
        </w:rPr>
        <w:t>联系电话：</w:t>
      </w:r>
      <w:bookmarkEnd w:id="3"/>
      <w:r>
        <w:rPr>
          <w:szCs w:val="32"/>
          <w:lang w:val="zh-CN"/>
        </w:rPr>
        <w:t>XXXX</w:t>
      </w:r>
    </w:p>
    <w:p>
      <w:pPr>
        <w:keepNext/>
        <w:keepLines/>
        <w:pageBreakBefore/>
        <w:overflowPunct/>
        <w:snapToGrid/>
        <w:spacing w:before="340" w:after="330" w:line="560" w:lineRule="exact"/>
        <w:ind w:left="567" w:firstLine="0" w:firstLineChars="0"/>
        <w:jc w:val="center"/>
        <w:outlineLvl w:val="0"/>
        <w:rPr>
          <w:rFonts w:eastAsia="方正小标宋简体"/>
          <w:kern w:val="44"/>
          <w:sz w:val="44"/>
          <w:szCs w:val="44"/>
        </w:rPr>
      </w:pPr>
      <w:bookmarkStart w:id="12" w:name="_Toc7511"/>
      <w:bookmarkStart w:id="13" w:name="_Toc19157"/>
      <w:r>
        <w:rPr>
          <w:rFonts w:eastAsia="方正小标宋简体"/>
          <w:kern w:val="44"/>
          <w:sz w:val="44"/>
          <w:szCs w:val="44"/>
        </w:rPr>
        <w:t>第二章</w:t>
      </w:r>
      <w:bookmarkStart w:id="14" w:name="_Toc452625218"/>
      <w:r>
        <w:rPr>
          <w:rFonts w:eastAsia="方正小标宋简体"/>
          <w:kern w:val="44"/>
          <w:sz w:val="44"/>
          <w:szCs w:val="44"/>
        </w:rPr>
        <w:t xml:space="preserve"> </w:t>
      </w:r>
      <w:bookmarkEnd w:id="12"/>
      <w:bookmarkEnd w:id="14"/>
      <w:r>
        <w:rPr>
          <w:rFonts w:eastAsia="方正小标宋简体"/>
          <w:kern w:val="44"/>
          <w:sz w:val="44"/>
          <w:szCs w:val="44"/>
        </w:rPr>
        <w:t>投标人须知</w:t>
      </w:r>
      <w:bookmarkEnd w:id="13"/>
    </w:p>
    <w:p>
      <w:pPr>
        <w:overflowPunct/>
        <w:adjustRightInd/>
        <w:snapToGrid/>
        <w:spacing w:line="560" w:lineRule="exact"/>
        <w:ind w:firstLine="640"/>
        <w:jc w:val="left"/>
        <w:rPr>
          <w:rFonts w:eastAsia="黑体"/>
          <w:szCs w:val="32"/>
          <w:lang w:val="zh-CN"/>
        </w:rPr>
      </w:pPr>
      <w:bookmarkStart w:id="15" w:name="_Toc419378074"/>
      <w:bookmarkStart w:id="16" w:name="_Toc481057145"/>
      <w:bookmarkStart w:id="17" w:name="_Toc2754"/>
      <w:r>
        <w:rPr>
          <w:rFonts w:eastAsia="黑体"/>
          <w:szCs w:val="32"/>
          <w:lang w:val="zh-CN"/>
        </w:rPr>
        <w:t>一、总   则</w:t>
      </w:r>
      <w:bookmarkEnd w:id="15"/>
    </w:p>
    <w:p>
      <w:pPr>
        <w:overflowPunct/>
        <w:adjustRightInd/>
        <w:snapToGrid/>
        <w:spacing w:line="560" w:lineRule="exact"/>
        <w:ind w:firstLine="643"/>
        <w:jc w:val="left"/>
        <w:rPr>
          <w:b/>
          <w:bCs/>
          <w:szCs w:val="32"/>
        </w:rPr>
      </w:pPr>
      <w:bookmarkStart w:id="18" w:name="_Toc419378075"/>
      <w:r>
        <w:rPr>
          <w:rFonts w:hint="eastAsia"/>
          <w:b/>
          <w:bCs/>
          <w:szCs w:val="32"/>
        </w:rPr>
        <w:t>1.</w:t>
      </w:r>
      <w:bookmarkEnd w:id="18"/>
      <w:r>
        <w:rPr>
          <w:b/>
          <w:bCs/>
          <w:kern w:val="0"/>
          <w:szCs w:val="32"/>
        </w:rPr>
        <w:t>参照法律</w:t>
      </w:r>
    </w:p>
    <w:p>
      <w:pPr>
        <w:overflowPunct/>
        <w:adjustRightInd/>
        <w:snapToGrid/>
        <w:spacing w:line="560" w:lineRule="exact"/>
        <w:ind w:firstLine="640"/>
        <w:jc w:val="left"/>
        <w:rPr>
          <w:kern w:val="0"/>
          <w:szCs w:val="32"/>
        </w:rPr>
      </w:pPr>
      <w:bookmarkStart w:id="19" w:name="_Toc419378076"/>
      <w:r>
        <w:rPr>
          <w:kern w:val="0"/>
          <w:szCs w:val="32"/>
        </w:rPr>
        <w:t>1.1本次采购参照《中华人民共和国政府采购法</w:t>
      </w:r>
      <w:r>
        <w:rPr>
          <w:rFonts w:hint="eastAsia"/>
          <w:kern w:val="0"/>
          <w:szCs w:val="32"/>
        </w:rPr>
        <w:t>》《</w:t>
      </w:r>
      <w:r>
        <w:rPr>
          <w:kern w:val="0"/>
          <w:szCs w:val="32"/>
        </w:rPr>
        <w:t>中华人民共和国政府采购法实施条例》等有关法律、规章和规定等。</w:t>
      </w:r>
    </w:p>
    <w:p>
      <w:pPr>
        <w:overflowPunct/>
        <w:adjustRightInd/>
        <w:snapToGrid/>
        <w:spacing w:line="560" w:lineRule="exact"/>
        <w:ind w:firstLine="643"/>
        <w:jc w:val="left"/>
        <w:rPr>
          <w:b/>
          <w:bCs/>
          <w:szCs w:val="32"/>
        </w:rPr>
      </w:pPr>
      <w:r>
        <w:rPr>
          <w:rFonts w:hint="eastAsia"/>
          <w:b/>
          <w:bCs/>
          <w:szCs w:val="32"/>
        </w:rPr>
        <w:t>2.</w:t>
      </w:r>
      <w:r>
        <w:rPr>
          <w:b/>
          <w:bCs/>
          <w:szCs w:val="32"/>
        </w:rPr>
        <w:t>定义</w:t>
      </w:r>
      <w:bookmarkEnd w:id="19"/>
    </w:p>
    <w:p>
      <w:pPr>
        <w:overflowPunct/>
        <w:adjustRightInd/>
        <w:snapToGrid/>
        <w:spacing w:line="560" w:lineRule="exact"/>
        <w:ind w:firstLine="640"/>
        <w:jc w:val="left"/>
        <w:rPr>
          <w:szCs w:val="32"/>
        </w:rPr>
      </w:pPr>
      <w:r>
        <w:rPr>
          <w:szCs w:val="32"/>
        </w:rPr>
        <w:t>2.1“采购人”是指XXXX。</w:t>
      </w:r>
    </w:p>
    <w:p>
      <w:pPr>
        <w:overflowPunct/>
        <w:adjustRightInd/>
        <w:snapToGrid/>
        <w:spacing w:line="560" w:lineRule="exact"/>
        <w:ind w:firstLine="640"/>
        <w:jc w:val="left"/>
        <w:rPr>
          <w:szCs w:val="32"/>
        </w:rPr>
      </w:pPr>
      <w:r>
        <w:rPr>
          <w:szCs w:val="32"/>
        </w:rPr>
        <w:t>2.2“投标人”是指参加采购，并符合</w:t>
      </w:r>
      <w:r>
        <w:rPr>
          <w:rFonts w:hint="eastAsia"/>
          <w:szCs w:val="32"/>
        </w:rPr>
        <w:t>资格审查</w:t>
      </w:r>
      <w:r>
        <w:rPr>
          <w:szCs w:val="32"/>
        </w:rPr>
        <w:t>文件规定资格条件的法人、其他组织或者自然人。</w:t>
      </w:r>
    </w:p>
    <w:p>
      <w:pPr>
        <w:overflowPunct/>
        <w:adjustRightInd/>
        <w:snapToGrid/>
        <w:spacing w:line="560" w:lineRule="exact"/>
        <w:ind w:firstLine="640"/>
        <w:jc w:val="left"/>
        <w:rPr>
          <w:szCs w:val="32"/>
        </w:rPr>
      </w:pPr>
      <w:r>
        <w:rPr>
          <w:szCs w:val="32"/>
        </w:rPr>
        <w:t>2.3“采购代理机构”是指XXXX。</w:t>
      </w:r>
    </w:p>
    <w:p>
      <w:pPr>
        <w:overflowPunct/>
        <w:adjustRightInd/>
        <w:snapToGrid/>
        <w:spacing w:line="560" w:lineRule="exact"/>
        <w:ind w:firstLine="640"/>
        <w:jc w:val="left"/>
        <w:rPr>
          <w:szCs w:val="32"/>
        </w:rPr>
      </w:pPr>
      <w:r>
        <w:rPr>
          <w:szCs w:val="32"/>
        </w:rPr>
        <w:t>2.4“货物和服务”指本</w:t>
      </w:r>
      <w:r>
        <w:rPr>
          <w:rFonts w:hint="eastAsia"/>
          <w:szCs w:val="32"/>
        </w:rPr>
        <w:t>资格审查</w:t>
      </w:r>
      <w:r>
        <w:rPr>
          <w:szCs w:val="32"/>
        </w:rPr>
        <w:t>文件中所述产品及相关服务。</w:t>
      </w:r>
    </w:p>
    <w:p>
      <w:pPr>
        <w:shd w:val="clear" w:color="auto" w:fill="FFFFFF"/>
        <w:overflowPunct/>
        <w:adjustRightInd/>
        <w:snapToGrid/>
        <w:spacing w:line="560" w:lineRule="exact"/>
        <w:ind w:firstLine="640"/>
        <w:rPr>
          <w:rFonts w:eastAsia="黑体"/>
          <w:kern w:val="0"/>
          <w:szCs w:val="32"/>
        </w:rPr>
      </w:pPr>
      <w:bookmarkStart w:id="20" w:name="_Toc419378080"/>
      <w:r>
        <w:rPr>
          <w:rFonts w:eastAsia="黑体"/>
          <w:kern w:val="0"/>
          <w:szCs w:val="32"/>
        </w:rPr>
        <w:t>二、</w:t>
      </w:r>
      <w:r>
        <w:rPr>
          <w:rFonts w:hint="eastAsia" w:eastAsia="黑体"/>
          <w:kern w:val="0"/>
          <w:szCs w:val="32"/>
        </w:rPr>
        <w:t>资格审查</w:t>
      </w:r>
      <w:r>
        <w:rPr>
          <w:rFonts w:eastAsia="黑体"/>
          <w:kern w:val="0"/>
          <w:szCs w:val="32"/>
        </w:rPr>
        <w:t>文件构成</w:t>
      </w:r>
    </w:p>
    <w:p>
      <w:pPr>
        <w:overflowPunct/>
        <w:adjustRightInd/>
        <w:snapToGrid/>
        <w:spacing w:line="560" w:lineRule="exact"/>
        <w:ind w:firstLine="643"/>
        <w:rPr>
          <w:b/>
          <w:szCs w:val="32"/>
          <w:lang w:val="zh-CN"/>
        </w:rPr>
      </w:pPr>
      <w:r>
        <w:rPr>
          <w:b/>
          <w:szCs w:val="32"/>
        </w:rPr>
        <w:t>3</w:t>
      </w:r>
      <w:r>
        <w:rPr>
          <w:b/>
          <w:szCs w:val="32"/>
          <w:lang w:val="zh-CN"/>
        </w:rPr>
        <w:t>.</w:t>
      </w:r>
      <w:r>
        <w:rPr>
          <w:rFonts w:hint="eastAsia"/>
          <w:b/>
          <w:szCs w:val="32"/>
        </w:rPr>
        <w:t>资格审查</w:t>
      </w:r>
      <w:r>
        <w:rPr>
          <w:b/>
          <w:szCs w:val="32"/>
        </w:rPr>
        <w:t>文件</w:t>
      </w:r>
      <w:r>
        <w:rPr>
          <w:b/>
          <w:szCs w:val="32"/>
          <w:lang w:val="zh-CN"/>
        </w:rPr>
        <w:t>组成</w:t>
      </w:r>
    </w:p>
    <w:p>
      <w:pPr>
        <w:shd w:val="clear" w:color="auto" w:fill="FFFFFF"/>
        <w:overflowPunct/>
        <w:adjustRightInd/>
        <w:snapToGrid/>
        <w:spacing w:line="560" w:lineRule="exact"/>
        <w:ind w:firstLine="640"/>
        <w:rPr>
          <w:kern w:val="0"/>
          <w:szCs w:val="32"/>
        </w:rPr>
      </w:pPr>
      <w:r>
        <w:rPr>
          <w:kern w:val="0"/>
          <w:szCs w:val="32"/>
        </w:rPr>
        <w:t>3.1</w:t>
      </w:r>
      <w:r>
        <w:rPr>
          <w:rFonts w:hint="eastAsia"/>
          <w:kern w:val="0"/>
          <w:szCs w:val="32"/>
        </w:rPr>
        <w:t>资格审查</w:t>
      </w:r>
      <w:r>
        <w:rPr>
          <w:kern w:val="0"/>
          <w:szCs w:val="32"/>
        </w:rPr>
        <w:t>文件由以下部分组成：</w:t>
      </w:r>
    </w:p>
    <w:p>
      <w:pPr>
        <w:shd w:val="clear" w:color="auto" w:fill="FFFFFF"/>
        <w:overflowPunct/>
        <w:adjustRightInd/>
        <w:snapToGrid/>
        <w:spacing w:line="560" w:lineRule="exact"/>
        <w:ind w:firstLine="640"/>
        <w:rPr>
          <w:kern w:val="0"/>
          <w:szCs w:val="32"/>
        </w:rPr>
      </w:pPr>
      <w:r>
        <w:rPr>
          <w:kern w:val="0"/>
          <w:szCs w:val="32"/>
        </w:rPr>
        <w:t>（1）</w:t>
      </w:r>
      <w:r>
        <w:rPr>
          <w:rFonts w:hint="eastAsia"/>
          <w:kern w:val="0"/>
          <w:szCs w:val="32"/>
        </w:rPr>
        <w:t>资格审查</w:t>
      </w:r>
      <w:r>
        <w:rPr>
          <w:kern w:val="0"/>
          <w:szCs w:val="32"/>
        </w:rPr>
        <w:t>公告</w:t>
      </w:r>
    </w:p>
    <w:p>
      <w:pPr>
        <w:shd w:val="clear" w:color="auto" w:fill="FFFFFF"/>
        <w:overflowPunct/>
        <w:adjustRightInd/>
        <w:snapToGrid/>
        <w:spacing w:line="560" w:lineRule="exact"/>
        <w:ind w:firstLine="640"/>
        <w:rPr>
          <w:kern w:val="0"/>
          <w:szCs w:val="32"/>
        </w:rPr>
      </w:pPr>
      <w:r>
        <w:rPr>
          <w:kern w:val="0"/>
          <w:szCs w:val="32"/>
        </w:rPr>
        <w:t>（2）投标人须知</w:t>
      </w:r>
    </w:p>
    <w:p>
      <w:pPr>
        <w:shd w:val="clear" w:color="auto" w:fill="FFFFFF"/>
        <w:overflowPunct/>
        <w:adjustRightInd/>
        <w:snapToGrid/>
        <w:spacing w:line="560" w:lineRule="exact"/>
        <w:ind w:firstLine="640"/>
        <w:rPr>
          <w:kern w:val="0"/>
          <w:szCs w:val="32"/>
        </w:rPr>
      </w:pPr>
      <w:r>
        <w:rPr>
          <w:kern w:val="0"/>
          <w:szCs w:val="32"/>
        </w:rPr>
        <w:t>（3）资格审查办法及确定</w:t>
      </w:r>
      <w:r>
        <w:rPr>
          <w:rFonts w:hint="eastAsia"/>
          <w:kern w:val="0"/>
          <w:szCs w:val="32"/>
        </w:rPr>
        <w:t>资格审查</w:t>
      </w:r>
      <w:r>
        <w:rPr>
          <w:kern w:val="0"/>
          <w:szCs w:val="32"/>
        </w:rPr>
        <w:t>通过的投标人</w:t>
      </w:r>
    </w:p>
    <w:p>
      <w:pPr>
        <w:shd w:val="clear" w:color="auto" w:fill="FFFFFF"/>
        <w:overflowPunct/>
        <w:adjustRightInd/>
        <w:snapToGrid/>
        <w:spacing w:line="560" w:lineRule="exact"/>
        <w:ind w:firstLine="640"/>
        <w:rPr>
          <w:kern w:val="0"/>
          <w:szCs w:val="32"/>
        </w:rPr>
      </w:pPr>
      <w:r>
        <w:rPr>
          <w:kern w:val="0"/>
          <w:szCs w:val="32"/>
        </w:rPr>
        <w:t>（4）采购项目的内容和相关技术要求等</w:t>
      </w:r>
    </w:p>
    <w:p>
      <w:pPr>
        <w:shd w:val="clear" w:color="auto" w:fill="FFFFFF"/>
        <w:overflowPunct/>
        <w:adjustRightInd/>
        <w:snapToGrid/>
        <w:spacing w:line="560" w:lineRule="exact"/>
        <w:ind w:firstLine="640"/>
        <w:rPr>
          <w:kern w:val="0"/>
          <w:szCs w:val="32"/>
        </w:rPr>
      </w:pPr>
      <w:r>
        <w:rPr>
          <w:kern w:val="0"/>
          <w:szCs w:val="32"/>
        </w:rPr>
        <w:t>（5）资格文件格式</w:t>
      </w:r>
    </w:p>
    <w:p>
      <w:pPr>
        <w:shd w:val="clear" w:color="auto" w:fill="FFFFFF"/>
        <w:overflowPunct/>
        <w:adjustRightInd/>
        <w:snapToGrid/>
        <w:spacing w:line="560" w:lineRule="exact"/>
        <w:ind w:firstLine="640"/>
        <w:rPr>
          <w:kern w:val="0"/>
          <w:szCs w:val="32"/>
        </w:rPr>
      </w:pPr>
      <w:r>
        <w:rPr>
          <w:kern w:val="0"/>
          <w:szCs w:val="32"/>
        </w:rPr>
        <w:t>投标人应仔细检查</w:t>
      </w:r>
      <w:r>
        <w:rPr>
          <w:rFonts w:hint="eastAsia"/>
          <w:kern w:val="0"/>
          <w:szCs w:val="32"/>
        </w:rPr>
        <w:t>资格审查</w:t>
      </w:r>
      <w:r>
        <w:rPr>
          <w:kern w:val="0"/>
          <w:szCs w:val="32"/>
        </w:rPr>
        <w:t>文件是否齐全，如有缺漏请立即与采购代理机构联系。</w:t>
      </w:r>
    </w:p>
    <w:p>
      <w:pPr>
        <w:shd w:val="clear" w:color="auto" w:fill="FFFFFF"/>
        <w:overflowPunct/>
        <w:adjustRightInd/>
        <w:snapToGrid/>
        <w:spacing w:line="560" w:lineRule="exact"/>
        <w:ind w:firstLine="640"/>
        <w:rPr>
          <w:kern w:val="0"/>
          <w:szCs w:val="32"/>
        </w:rPr>
      </w:pPr>
      <w:r>
        <w:rPr>
          <w:kern w:val="0"/>
          <w:szCs w:val="32"/>
        </w:rPr>
        <w:t>3.2 投标人应认真阅读</w:t>
      </w:r>
      <w:r>
        <w:rPr>
          <w:rFonts w:hint="eastAsia"/>
          <w:kern w:val="0"/>
          <w:szCs w:val="32"/>
        </w:rPr>
        <w:t>资格审查</w:t>
      </w:r>
      <w:r>
        <w:rPr>
          <w:kern w:val="0"/>
          <w:szCs w:val="32"/>
        </w:rPr>
        <w:t>文件中所有的事项、格式、条款和规范等要求。按</w:t>
      </w:r>
      <w:r>
        <w:rPr>
          <w:rFonts w:hint="eastAsia"/>
          <w:kern w:val="0"/>
          <w:szCs w:val="32"/>
        </w:rPr>
        <w:t>资格审查</w:t>
      </w:r>
      <w:r>
        <w:rPr>
          <w:kern w:val="0"/>
          <w:szCs w:val="32"/>
        </w:rPr>
        <w:t>文件要求和规定编制资格文件，并保证所提供的全部资料的真实性，以使其资格文件对</w:t>
      </w:r>
      <w:r>
        <w:rPr>
          <w:rFonts w:hint="eastAsia"/>
          <w:kern w:val="0"/>
          <w:szCs w:val="32"/>
        </w:rPr>
        <w:t>资格审查</w:t>
      </w:r>
      <w:r>
        <w:rPr>
          <w:kern w:val="0"/>
          <w:szCs w:val="32"/>
        </w:rPr>
        <w:t>文件作出实质性响应，否则其风险由投标人自行承担。</w:t>
      </w:r>
    </w:p>
    <w:bookmarkEnd w:id="20"/>
    <w:p>
      <w:pPr>
        <w:overflowPunct/>
        <w:adjustRightInd/>
        <w:snapToGrid/>
        <w:spacing w:line="560" w:lineRule="exact"/>
        <w:ind w:firstLine="643"/>
        <w:rPr>
          <w:b/>
          <w:szCs w:val="32"/>
          <w:lang w:val="zh-CN"/>
        </w:rPr>
      </w:pPr>
      <w:bookmarkStart w:id="21" w:name="_Toc419378081"/>
      <w:r>
        <w:rPr>
          <w:b/>
          <w:szCs w:val="32"/>
        </w:rPr>
        <w:t>4</w:t>
      </w:r>
      <w:r>
        <w:rPr>
          <w:b/>
          <w:szCs w:val="32"/>
          <w:lang w:val="zh-CN"/>
        </w:rPr>
        <w:t>.</w:t>
      </w:r>
      <w:r>
        <w:rPr>
          <w:rFonts w:hint="eastAsia"/>
          <w:b/>
          <w:szCs w:val="32"/>
        </w:rPr>
        <w:t>资格审查</w:t>
      </w:r>
      <w:r>
        <w:rPr>
          <w:b/>
          <w:szCs w:val="32"/>
        </w:rPr>
        <w:t>文件</w:t>
      </w:r>
      <w:r>
        <w:rPr>
          <w:b/>
          <w:szCs w:val="32"/>
          <w:lang w:val="zh-CN"/>
        </w:rPr>
        <w:t>的澄清和修改</w:t>
      </w:r>
    </w:p>
    <w:p>
      <w:pPr>
        <w:shd w:val="clear" w:color="auto" w:fill="FFFFFF"/>
        <w:overflowPunct/>
        <w:adjustRightInd/>
        <w:snapToGrid/>
        <w:spacing w:line="560" w:lineRule="exact"/>
        <w:ind w:firstLine="640"/>
        <w:rPr>
          <w:kern w:val="0"/>
          <w:szCs w:val="32"/>
        </w:rPr>
      </w:pPr>
      <w:r>
        <w:rPr>
          <w:kern w:val="0"/>
          <w:szCs w:val="32"/>
        </w:rPr>
        <w:t>4.1</w:t>
      </w:r>
      <w:bookmarkStart w:id="22" w:name="_Hlk176450419"/>
      <w:r>
        <w:rPr>
          <w:kern w:val="0"/>
          <w:szCs w:val="32"/>
        </w:rPr>
        <w:t>采购人或者采购代理机构可以对已发出的</w:t>
      </w:r>
      <w:r>
        <w:rPr>
          <w:rFonts w:hint="eastAsia"/>
          <w:kern w:val="0"/>
          <w:szCs w:val="32"/>
        </w:rPr>
        <w:t>资格审查</w:t>
      </w:r>
      <w:r>
        <w:rPr>
          <w:kern w:val="0"/>
          <w:szCs w:val="32"/>
        </w:rPr>
        <w:t>文件、</w:t>
      </w:r>
      <w:r>
        <w:rPr>
          <w:rFonts w:hint="eastAsia"/>
          <w:kern w:val="0"/>
          <w:szCs w:val="32"/>
        </w:rPr>
        <w:t>资格审查</w:t>
      </w:r>
      <w:r>
        <w:rPr>
          <w:kern w:val="0"/>
          <w:szCs w:val="32"/>
        </w:rPr>
        <w:t>公告进行必要的澄清或者修改，但不得改变采购标的和资格条件。澄清或者修改应当在原公告发布媒体上发布更正公告。更正内容将作为</w:t>
      </w:r>
      <w:r>
        <w:rPr>
          <w:rFonts w:hint="eastAsia"/>
          <w:kern w:val="0"/>
          <w:szCs w:val="32"/>
        </w:rPr>
        <w:t>资格审查</w:t>
      </w:r>
      <w:r>
        <w:rPr>
          <w:kern w:val="0"/>
          <w:szCs w:val="32"/>
        </w:rPr>
        <w:t>文件的组成部分，并对投标人具有约束力。</w:t>
      </w:r>
      <w:bookmarkEnd w:id="22"/>
      <w:r>
        <w:rPr>
          <w:szCs w:val="32"/>
        </w:rPr>
        <w:t>采购人应当在提交</w:t>
      </w:r>
      <w:r>
        <w:rPr>
          <w:rFonts w:hint="eastAsia"/>
          <w:szCs w:val="32"/>
        </w:rPr>
        <w:t>资格审查</w:t>
      </w:r>
      <w:r>
        <w:rPr>
          <w:szCs w:val="32"/>
        </w:rPr>
        <w:t>申请文件截止时间至少3日前以书面形式通知所有获取</w:t>
      </w:r>
      <w:r>
        <w:rPr>
          <w:rFonts w:hint="eastAsia"/>
          <w:szCs w:val="32"/>
        </w:rPr>
        <w:t>资格审查</w:t>
      </w:r>
      <w:r>
        <w:rPr>
          <w:szCs w:val="32"/>
        </w:rPr>
        <w:t>文件的潜在投标人；不足3日的，招标人应当顺延提交</w:t>
      </w:r>
      <w:r>
        <w:rPr>
          <w:rFonts w:hint="eastAsia"/>
          <w:szCs w:val="32"/>
        </w:rPr>
        <w:t>资格审查</w:t>
      </w:r>
      <w:r>
        <w:rPr>
          <w:szCs w:val="32"/>
        </w:rPr>
        <w:t>申请文件的截止时间。</w:t>
      </w:r>
    </w:p>
    <w:p>
      <w:pPr>
        <w:shd w:val="clear" w:color="auto" w:fill="FFFFFF"/>
        <w:overflowPunct/>
        <w:adjustRightInd/>
        <w:snapToGrid/>
        <w:spacing w:line="560" w:lineRule="exact"/>
        <w:ind w:firstLine="640"/>
        <w:rPr>
          <w:kern w:val="0"/>
          <w:szCs w:val="32"/>
        </w:rPr>
      </w:pPr>
      <w:r>
        <w:rPr>
          <w:kern w:val="0"/>
          <w:szCs w:val="32"/>
        </w:rPr>
        <w:t>4.2 投标人应在提交资格文件截止时间前，关注原公告媒体有关本项目的更正公告，根据更正公告内容自行决定是否需要重新制作和提交资格文件，并承担由此产生的相应责任。</w:t>
      </w:r>
    </w:p>
    <w:p>
      <w:pPr>
        <w:overflowPunct/>
        <w:autoSpaceDE w:val="0"/>
        <w:autoSpaceDN w:val="0"/>
        <w:adjustRightInd/>
        <w:snapToGrid/>
        <w:spacing w:line="560" w:lineRule="exact"/>
        <w:ind w:firstLine="640"/>
        <w:rPr>
          <w:kern w:val="0"/>
          <w:szCs w:val="32"/>
        </w:rPr>
      </w:pPr>
      <w:r>
        <w:rPr>
          <w:kern w:val="0"/>
          <w:szCs w:val="32"/>
        </w:rPr>
        <w:t>4.3 采购代理机构有权按照法律法规的要求推迟投标截止日期和开标日期，并在原公告媒体发布更正公告。</w:t>
      </w:r>
    </w:p>
    <w:bookmarkEnd w:id="21"/>
    <w:p>
      <w:pPr>
        <w:overflowPunct/>
        <w:autoSpaceDE w:val="0"/>
        <w:autoSpaceDN w:val="0"/>
        <w:adjustRightInd/>
        <w:snapToGrid/>
        <w:spacing w:line="560" w:lineRule="exact"/>
        <w:ind w:firstLine="640"/>
        <w:rPr>
          <w:rFonts w:eastAsia="黑体"/>
          <w:bCs/>
          <w:szCs w:val="32"/>
          <w:lang w:val="zh-CN"/>
        </w:rPr>
      </w:pPr>
      <w:bookmarkStart w:id="23" w:name="_Toc419378083"/>
      <w:r>
        <w:rPr>
          <w:rFonts w:eastAsia="黑体"/>
          <w:bCs/>
          <w:szCs w:val="32"/>
          <w:lang w:val="zh-CN"/>
        </w:rPr>
        <w:t>三、资格文件编制</w:t>
      </w:r>
    </w:p>
    <w:p>
      <w:pPr>
        <w:overflowPunct/>
        <w:adjustRightInd/>
        <w:snapToGrid/>
        <w:spacing w:line="560" w:lineRule="exact"/>
        <w:ind w:firstLine="643"/>
        <w:rPr>
          <w:b/>
          <w:szCs w:val="32"/>
          <w:lang w:val="zh-CN"/>
        </w:rPr>
      </w:pPr>
      <w:r>
        <w:rPr>
          <w:b/>
          <w:szCs w:val="32"/>
        </w:rPr>
        <w:t>5</w:t>
      </w:r>
      <w:r>
        <w:rPr>
          <w:b/>
          <w:szCs w:val="32"/>
          <w:lang w:val="zh-CN"/>
        </w:rPr>
        <w:t>.资格文件的语言、计量单位、货币和编制</w:t>
      </w:r>
    </w:p>
    <w:p>
      <w:pPr>
        <w:overflowPunct/>
        <w:autoSpaceDE w:val="0"/>
        <w:autoSpaceDN w:val="0"/>
        <w:adjustRightInd/>
        <w:snapToGrid/>
        <w:spacing w:line="560" w:lineRule="exact"/>
        <w:ind w:firstLine="640"/>
        <w:rPr>
          <w:szCs w:val="32"/>
          <w:lang w:val="zh-CN"/>
        </w:rPr>
      </w:pPr>
      <w:r>
        <w:rPr>
          <w:szCs w:val="32"/>
        </w:rPr>
        <w:t>5</w:t>
      </w:r>
      <w:r>
        <w:rPr>
          <w:szCs w:val="32"/>
          <w:lang w:val="zh-CN"/>
        </w:rPr>
        <w:t>.1 投标人提交的资格文件、技术文件和资料，以及投标人与采购代理机构就有关</w:t>
      </w:r>
      <w:r>
        <w:rPr>
          <w:szCs w:val="32"/>
        </w:rPr>
        <w:t>投标</w:t>
      </w:r>
      <w:r>
        <w:rPr>
          <w:szCs w:val="32"/>
          <w:lang w:val="zh-CN"/>
        </w:rPr>
        <w:t>的所有来往函电均应使用中文。资格文件中若有英文或其他语言文字的资料，应提供相应的中文翻译资料。对不同文本资格文件的解释发生异议的，以中文文本为准。</w:t>
      </w:r>
    </w:p>
    <w:p>
      <w:pPr>
        <w:overflowPunct/>
        <w:autoSpaceDE w:val="0"/>
        <w:autoSpaceDN w:val="0"/>
        <w:adjustRightInd/>
        <w:snapToGrid/>
        <w:spacing w:line="560" w:lineRule="exact"/>
        <w:ind w:firstLine="640"/>
        <w:rPr>
          <w:szCs w:val="32"/>
          <w:lang w:val="zh-CN"/>
        </w:rPr>
      </w:pPr>
      <w:r>
        <w:rPr>
          <w:szCs w:val="32"/>
        </w:rPr>
        <w:t>5</w:t>
      </w:r>
      <w:r>
        <w:rPr>
          <w:szCs w:val="32"/>
          <w:lang w:val="zh-CN"/>
        </w:rPr>
        <w:t>.2 除技术性能另有规定外，</w:t>
      </w:r>
      <w:r>
        <w:rPr>
          <w:szCs w:val="32"/>
        </w:rPr>
        <w:t>资格文件</w:t>
      </w:r>
      <w:r>
        <w:rPr>
          <w:szCs w:val="32"/>
          <w:lang w:val="zh-CN"/>
        </w:rPr>
        <w:t>所使用的度量衡单位，均须采用国家法定计量单位。</w:t>
      </w:r>
    </w:p>
    <w:p>
      <w:pPr>
        <w:overflowPunct/>
        <w:autoSpaceDE w:val="0"/>
        <w:autoSpaceDN w:val="0"/>
        <w:adjustRightInd/>
        <w:snapToGrid/>
        <w:spacing w:line="560" w:lineRule="exact"/>
        <w:ind w:firstLine="640"/>
        <w:rPr>
          <w:szCs w:val="32"/>
          <w:lang w:val="zh-CN"/>
        </w:rPr>
      </w:pPr>
      <w:r>
        <w:rPr>
          <w:szCs w:val="32"/>
        </w:rPr>
        <w:t>5</w:t>
      </w:r>
      <w:r>
        <w:rPr>
          <w:szCs w:val="32"/>
          <w:lang w:val="zh-CN"/>
        </w:rPr>
        <w:t>.</w:t>
      </w:r>
      <w:r>
        <w:rPr>
          <w:szCs w:val="32"/>
        </w:rPr>
        <w:t>3</w:t>
      </w:r>
      <w:r>
        <w:rPr>
          <w:szCs w:val="32"/>
          <w:lang w:val="zh-CN"/>
        </w:rPr>
        <w:t xml:space="preserve"> </w:t>
      </w:r>
      <w:r>
        <w:rPr>
          <w:szCs w:val="32"/>
        </w:rPr>
        <w:t>投标人</w:t>
      </w:r>
      <w:r>
        <w:rPr>
          <w:szCs w:val="32"/>
          <w:lang w:val="zh-CN"/>
        </w:rPr>
        <w:t>应按照</w:t>
      </w:r>
      <w:r>
        <w:rPr>
          <w:rFonts w:hint="eastAsia"/>
          <w:szCs w:val="32"/>
          <w:lang w:val="zh-CN"/>
        </w:rPr>
        <w:t>法律法规</w:t>
      </w:r>
      <w:r>
        <w:rPr>
          <w:szCs w:val="32"/>
          <w:lang w:val="zh-CN"/>
        </w:rPr>
        <w:t>、规章和规范性文件以及</w:t>
      </w:r>
      <w:r>
        <w:rPr>
          <w:rFonts w:hint="eastAsia"/>
          <w:szCs w:val="32"/>
        </w:rPr>
        <w:t>资格审查</w:t>
      </w:r>
      <w:r>
        <w:rPr>
          <w:szCs w:val="32"/>
        </w:rPr>
        <w:t>文件</w:t>
      </w:r>
      <w:r>
        <w:rPr>
          <w:szCs w:val="32"/>
          <w:lang w:val="zh-CN"/>
        </w:rPr>
        <w:t>要求提交</w:t>
      </w:r>
      <w:r>
        <w:rPr>
          <w:szCs w:val="32"/>
        </w:rPr>
        <w:t>资格</w:t>
      </w:r>
      <w:r>
        <w:rPr>
          <w:szCs w:val="32"/>
          <w:lang w:val="zh-CN"/>
        </w:rPr>
        <w:t>文件，证明其投标标的符合</w:t>
      </w:r>
      <w:r>
        <w:rPr>
          <w:rFonts w:hint="eastAsia"/>
          <w:szCs w:val="32"/>
        </w:rPr>
        <w:t>资格审查</w:t>
      </w:r>
      <w:r>
        <w:rPr>
          <w:szCs w:val="32"/>
        </w:rPr>
        <w:t>文件</w:t>
      </w:r>
      <w:r>
        <w:rPr>
          <w:szCs w:val="32"/>
          <w:lang w:val="zh-CN"/>
        </w:rPr>
        <w:t>规定。</w:t>
      </w:r>
    </w:p>
    <w:p>
      <w:pPr>
        <w:overflowPunct/>
        <w:autoSpaceDE w:val="0"/>
        <w:autoSpaceDN w:val="0"/>
        <w:adjustRightInd/>
        <w:snapToGrid/>
        <w:spacing w:line="560" w:lineRule="exact"/>
        <w:ind w:firstLine="640"/>
        <w:rPr>
          <w:szCs w:val="32"/>
          <w:lang w:val="zh-CN"/>
        </w:rPr>
      </w:pPr>
      <w:r>
        <w:rPr>
          <w:szCs w:val="32"/>
        </w:rPr>
        <w:t>5</w:t>
      </w:r>
      <w:r>
        <w:rPr>
          <w:szCs w:val="32"/>
          <w:lang w:val="zh-CN"/>
        </w:rPr>
        <w:t>.4资格文件应字迹清楚、内容齐全、不得涂改。如有修改，修改处须有投标人公章或投标专用章和法定代表人或其授权的委托代理人签字。</w:t>
      </w:r>
    </w:p>
    <w:p>
      <w:pPr>
        <w:overflowPunct/>
        <w:autoSpaceDE w:val="0"/>
        <w:autoSpaceDN w:val="0"/>
        <w:adjustRightInd/>
        <w:snapToGrid/>
        <w:spacing w:line="560" w:lineRule="exact"/>
        <w:ind w:firstLine="640"/>
        <w:rPr>
          <w:szCs w:val="32"/>
          <w:lang w:val="zh-CN"/>
        </w:rPr>
      </w:pPr>
      <w:r>
        <w:rPr>
          <w:szCs w:val="32"/>
        </w:rPr>
        <w:t>5</w:t>
      </w:r>
      <w:r>
        <w:rPr>
          <w:szCs w:val="32"/>
          <w:lang w:val="zh-CN"/>
        </w:rPr>
        <w:t>.5资格文件统一用A4规格幅面打印、装订成册并编制目录，由于编排混乱导致</w:t>
      </w:r>
      <w:r>
        <w:rPr>
          <w:szCs w:val="32"/>
        </w:rPr>
        <w:t>资格</w:t>
      </w:r>
      <w:r>
        <w:rPr>
          <w:szCs w:val="32"/>
          <w:lang w:val="zh-CN"/>
        </w:rPr>
        <w:t>文件被误读或查找不到，责任由投标人承担。</w:t>
      </w:r>
    </w:p>
    <w:p>
      <w:pPr>
        <w:overflowPunct/>
        <w:autoSpaceDE w:val="0"/>
        <w:autoSpaceDN w:val="0"/>
        <w:adjustRightInd/>
        <w:snapToGrid/>
        <w:spacing w:line="560" w:lineRule="exact"/>
        <w:ind w:firstLine="640"/>
        <w:rPr>
          <w:szCs w:val="32"/>
          <w:lang w:val="zh-CN"/>
        </w:rPr>
      </w:pPr>
      <w:r>
        <w:rPr>
          <w:szCs w:val="32"/>
        </w:rPr>
        <w:t>5</w:t>
      </w:r>
      <w:r>
        <w:rPr>
          <w:szCs w:val="32"/>
          <w:lang w:val="zh-CN"/>
        </w:rPr>
        <w:t>.6投标人应在资格文件中写清相应的项目编号、项目名称、投标人全称、地址、电话、传真等。</w:t>
      </w:r>
    </w:p>
    <w:p>
      <w:pPr>
        <w:overflowPunct/>
        <w:autoSpaceDE w:val="0"/>
        <w:autoSpaceDN w:val="0"/>
        <w:adjustRightInd/>
        <w:snapToGrid/>
        <w:spacing w:line="560" w:lineRule="exact"/>
        <w:ind w:firstLine="640"/>
        <w:rPr>
          <w:szCs w:val="32"/>
          <w:lang w:val="zh-CN"/>
        </w:rPr>
      </w:pPr>
      <w:r>
        <w:rPr>
          <w:szCs w:val="32"/>
        </w:rPr>
        <w:t>5.7</w:t>
      </w:r>
      <w:r>
        <w:rPr>
          <w:rFonts w:hint="eastAsia"/>
          <w:szCs w:val="32"/>
        </w:rPr>
        <w:t>资格审查</w:t>
      </w:r>
      <w:r>
        <w:rPr>
          <w:szCs w:val="32"/>
        </w:rPr>
        <w:t>文件</w:t>
      </w:r>
      <w:r>
        <w:rPr>
          <w:szCs w:val="32"/>
          <w:lang w:val="zh-CN"/>
        </w:rPr>
        <w:t>对资格文件无明确形式要求的，资格文件可以以文字资料、图纸和数据等形式提交。</w:t>
      </w:r>
    </w:p>
    <w:bookmarkEnd w:id="16"/>
    <w:bookmarkEnd w:id="17"/>
    <w:bookmarkEnd w:id="23"/>
    <w:p>
      <w:pPr>
        <w:overflowPunct/>
        <w:autoSpaceDE w:val="0"/>
        <w:autoSpaceDN w:val="0"/>
        <w:adjustRightInd/>
        <w:snapToGrid/>
        <w:spacing w:line="560" w:lineRule="exact"/>
        <w:ind w:firstLine="643"/>
        <w:rPr>
          <w:b/>
          <w:bCs/>
          <w:szCs w:val="32"/>
          <w:lang w:val="zh-CN"/>
        </w:rPr>
      </w:pPr>
      <w:bookmarkStart w:id="24" w:name="_Toc14826"/>
      <w:r>
        <w:rPr>
          <w:b/>
          <w:bCs/>
          <w:szCs w:val="32"/>
        </w:rPr>
        <w:t>6</w:t>
      </w:r>
      <w:r>
        <w:rPr>
          <w:b/>
          <w:bCs/>
          <w:szCs w:val="32"/>
          <w:lang w:val="zh-CN"/>
        </w:rPr>
        <w:t>.资格文件的组成</w:t>
      </w:r>
    </w:p>
    <w:p>
      <w:pPr>
        <w:overflowPunct/>
        <w:autoSpaceDE w:val="0"/>
        <w:autoSpaceDN w:val="0"/>
        <w:adjustRightInd/>
        <w:snapToGrid/>
        <w:spacing w:line="560" w:lineRule="exact"/>
        <w:ind w:firstLine="640"/>
        <w:rPr>
          <w:szCs w:val="32"/>
        </w:rPr>
      </w:pPr>
      <w:r>
        <w:rPr>
          <w:szCs w:val="32"/>
        </w:rPr>
        <w:t>6.1</w:t>
      </w:r>
      <w:r>
        <w:rPr>
          <w:kern w:val="0"/>
          <w:szCs w:val="32"/>
        </w:rPr>
        <w:t>投标人编写的资格文件应包括资格条件证明文件、其他证明文件等部分。</w:t>
      </w:r>
    </w:p>
    <w:p>
      <w:pPr>
        <w:overflowPunct/>
        <w:adjustRightInd/>
        <w:snapToGrid/>
        <w:spacing w:line="560" w:lineRule="exact"/>
        <w:ind w:firstLine="643"/>
        <w:rPr>
          <w:b/>
          <w:szCs w:val="32"/>
          <w:u w:val="wave"/>
          <w:lang w:val="zh-CN"/>
        </w:rPr>
      </w:pPr>
      <w:bookmarkStart w:id="25" w:name="_Hlt26954731"/>
      <w:bookmarkEnd w:id="25"/>
      <w:bookmarkStart w:id="26" w:name="_Hlt26668983"/>
      <w:bookmarkEnd w:id="26"/>
      <w:bookmarkStart w:id="27" w:name="_Hlt26670482"/>
      <w:bookmarkEnd w:id="27"/>
      <w:bookmarkStart w:id="28" w:name="_Hlt26954844"/>
      <w:bookmarkEnd w:id="28"/>
      <w:bookmarkStart w:id="29" w:name="_Hlt26954846"/>
      <w:bookmarkEnd w:id="29"/>
      <w:bookmarkStart w:id="30" w:name="_Hlt26954848"/>
      <w:bookmarkEnd w:id="30"/>
      <w:bookmarkStart w:id="31" w:name="_Hlt26954842"/>
      <w:bookmarkEnd w:id="31"/>
      <w:bookmarkStart w:id="32" w:name="_Hlt26670486"/>
      <w:bookmarkEnd w:id="32"/>
      <w:bookmarkStart w:id="33" w:name="_Hlt26670403"/>
      <w:bookmarkEnd w:id="33"/>
      <w:bookmarkStart w:id="34" w:name="_Hlt26670425"/>
      <w:bookmarkEnd w:id="34"/>
      <w:r>
        <w:rPr>
          <w:b/>
          <w:szCs w:val="32"/>
          <w:u w:val="wave"/>
        </w:rPr>
        <w:t>7</w:t>
      </w:r>
      <w:r>
        <w:rPr>
          <w:b/>
          <w:szCs w:val="32"/>
          <w:u w:val="wave"/>
          <w:lang w:val="zh-CN"/>
        </w:rPr>
        <w:t xml:space="preserve">. </w:t>
      </w:r>
      <w:r>
        <w:rPr>
          <w:b/>
          <w:szCs w:val="32"/>
          <w:u w:val="wave"/>
        </w:rPr>
        <w:t>投标</w:t>
      </w:r>
      <w:r>
        <w:rPr>
          <w:b/>
          <w:szCs w:val="32"/>
          <w:u w:val="wave"/>
          <w:lang w:val="zh-CN"/>
        </w:rPr>
        <w:t>保证金</w:t>
      </w:r>
    </w:p>
    <w:p>
      <w:pPr>
        <w:overflowPunct/>
        <w:autoSpaceDE w:val="0"/>
        <w:autoSpaceDN w:val="0"/>
        <w:adjustRightInd/>
        <w:snapToGrid/>
        <w:spacing w:line="560" w:lineRule="exact"/>
        <w:ind w:firstLine="640"/>
        <w:rPr>
          <w:szCs w:val="32"/>
          <w:u w:val="wave"/>
        </w:rPr>
      </w:pPr>
      <w:r>
        <w:rPr>
          <w:szCs w:val="32"/>
          <w:u w:val="wave"/>
        </w:rPr>
        <w:t>7.1本项目不收取投标保证金。</w:t>
      </w:r>
    </w:p>
    <w:p>
      <w:pPr>
        <w:overflowPunct/>
        <w:adjustRightInd/>
        <w:snapToGrid/>
        <w:spacing w:line="560" w:lineRule="exact"/>
        <w:ind w:firstLine="643"/>
        <w:rPr>
          <w:b/>
          <w:szCs w:val="32"/>
          <w:lang w:val="zh-CN"/>
        </w:rPr>
      </w:pPr>
      <w:r>
        <w:rPr>
          <w:b/>
          <w:szCs w:val="32"/>
        </w:rPr>
        <w:t>8</w:t>
      </w:r>
      <w:r>
        <w:rPr>
          <w:b/>
          <w:szCs w:val="32"/>
          <w:lang w:val="zh-CN"/>
        </w:rPr>
        <w:t>.</w:t>
      </w:r>
      <w:r>
        <w:rPr>
          <w:b/>
          <w:szCs w:val="32"/>
        </w:rPr>
        <w:t>投标</w:t>
      </w:r>
      <w:r>
        <w:rPr>
          <w:b/>
          <w:szCs w:val="32"/>
          <w:lang w:val="zh-CN"/>
        </w:rPr>
        <w:t>有效期</w:t>
      </w:r>
    </w:p>
    <w:p>
      <w:pPr>
        <w:shd w:val="clear" w:color="auto" w:fill="FFFFFF"/>
        <w:overflowPunct/>
        <w:adjustRightInd/>
        <w:snapToGrid/>
        <w:spacing w:line="560" w:lineRule="exact"/>
        <w:ind w:firstLine="640"/>
        <w:rPr>
          <w:kern w:val="0"/>
          <w:szCs w:val="32"/>
        </w:rPr>
      </w:pPr>
      <w:r>
        <w:rPr>
          <w:kern w:val="0"/>
          <w:szCs w:val="32"/>
        </w:rPr>
        <w:t xml:space="preserve">8.1 </w:t>
      </w:r>
      <w:r>
        <w:rPr>
          <w:szCs w:val="32"/>
          <w:lang w:val="zh-CN"/>
        </w:rPr>
        <w:t>投标有效期为</w:t>
      </w:r>
      <w:r>
        <w:rPr>
          <w:szCs w:val="32"/>
        </w:rPr>
        <w:t>90</w:t>
      </w:r>
      <w:r>
        <w:rPr>
          <w:szCs w:val="32"/>
          <w:lang w:val="zh-CN"/>
        </w:rPr>
        <w:t>天，从提交资格文件的截止之日起算。资格文件中承诺的投标有效期应当不少于</w:t>
      </w:r>
      <w:r>
        <w:rPr>
          <w:rFonts w:hint="eastAsia"/>
          <w:szCs w:val="32"/>
          <w:lang w:val="zh-CN"/>
        </w:rPr>
        <w:t>资格审查</w:t>
      </w:r>
      <w:r>
        <w:rPr>
          <w:szCs w:val="32"/>
          <w:lang w:val="zh-CN"/>
        </w:rPr>
        <w:t>文件中载明的投标有效期。</w:t>
      </w:r>
    </w:p>
    <w:p>
      <w:pPr>
        <w:shd w:val="clear" w:color="auto" w:fill="FFFFFF"/>
        <w:overflowPunct/>
        <w:adjustRightInd/>
        <w:snapToGrid/>
        <w:spacing w:line="560" w:lineRule="exact"/>
        <w:ind w:firstLine="640"/>
        <w:rPr>
          <w:kern w:val="0"/>
          <w:szCs w:val="32"/>
        </w:rPr>
      </w:pPr>
      <w:r>
        <w:rPr>
          <w:kern w:val="0"/>
          <w:szCs w:val="32"/>
        </w:rPr>
        <w:t>8.2 特殊情况下，在原投标有效期截止之前，采购代理机构可要求投标人同意延长投标有效期，这种要求与答复均应以书面形式提交。投标人可以拒绝采购代理机构的这一要求而放弃投标。同意延长投标有效期的投标人既不能要求也不允许修改其资格文件，同时受投标有效期约束的所有权利与义务均延长至新的有效期满。</w:t>
      </w:r>
    </w:p>
    <w:p>
      <w:pPr>
        <w:shd w:val="clear" w:color="auto" w:fill="FFFFFF"/>
        <w:overflowPunct/>
        <w:adjustRightInd/>
        <w:snapToGrid/>
        <w:spacing w:line="560" w:lineRule="exact"/>
        <w:ind w:firstLine="643"/>
        <w:rPr>
          <w:b/>
          <w:bCs/>
          <w:kern w:val="0"/>
          <w:szCs w:val="32"/>
        </w:rPr>
      </w:pPr>
      <w:r>
        <w:rPr>
          <w:b/>
          <w:bCs/>
          <w:kern w:val="0"/>
          <w:szCs w:val="32"/>
        </w:rPr>
        <w:t>9.资格文件签署</w:t>
      </w:r>
    </w:p>
    <w:p>
      <w:pPr>
        <w:shd w:val="clear" w:color="auto" w:fill="FFFFFF"/>
        <w:overflowPunct/>
        <w:adjustRightInd/>
        <w:snapToGrid/>
        <w:spacing w:line="560" w:lineRule="exact"/>
        <w:ind w:firstLine="640"/>
        <w:rPr>
          <w:kern w:val="0"/>
          <w:szCs w:val="32"/>
        </w:rPr>
      </w:pPr>
      <w:r>
        <w:rPr>
          <w:kern w:val="0"/>
          <w:szCs w:val="32"/>
        </w:rPr>
        <w:t>9.1资格文件的正本和副本均应由投标人的法定代表人或委托代理人签字，如果它们之间内容有差异，则以正本为准。</w:t>
      </w:r>
    </w:p>
    <w:p>
      <w:pPr>
        <w:shd w:val="clear" w:color="auto" w:fill="FFFFFF"/>
        <w:overflowPunct/>
        <w:adjustRightInd/>
        <w:snapToGrid/>
        <w:spacing w:line="560" w:lineRule="exact"/>
        <w:ind w:firstLine="643"/>
        <w:rPr>
          <w:b/>
          <w:bCs/>
          <w:kern w:val="0"/>
          <w:szCs w:val="32"/>
        </w:rPr>
      </w:pPr>
      <w:r>
        <w:rPr>
          <w:b/>
          <w:bCs/>
          <w:kern w:val="0"/>
          <w:szCs w:val="32"/>
        </w:rPr>
        <w:t>10.投标费用</w:t>
      </w:r>
    </w:p>
    <w:p>
      <w:pPr>
        <w:shd w:val="clear" w:color="auto" w:fill="FFFFFF"/>
        <w:overflowPunct/>
        <w:adjustRightInd/>
        <w:snapToGrid/>
        <w:spacing w:line="560" w:lineRule="exact"/>
        <w:ind w:firstLine="640"/>
        <w:rPr>
          <w:kern w:val="0"/>
          <w:szCs w:val="32"/>
        </w:rPr>
      </w:pPr>
      <w:r>
        <w:rPr>
          <w:kern w:val="0"/>
          <w:szCs w:val="32"/>
        </w:rPr>
        <w:t>10.1 投标人应承担所有与准备和参加投标有关的费用，无论采购结果如何，采购代理机构和采购人在任何情况下均无义务和责任承担这些费用。</w:t>
      </w:r>
    </w:p>
    <w:p>
      <w:pPr>
        <w:overflowPunct/>
        <w:autoSpaceDE w:val="0"/>
        <w:autoSpaceDN w:val="0"/>
        <w:adjustRightInd/>
        <w:snapToGrid/>
        <w:spacing w:line="560" w:lineRule="exact"/>
        <w:ind w:firstLine="640"/>
        <w:rPr>
          <w:rFonts w:eastAsia="黑体"/>
          <w:bCs/>
          <w:szCs w:val="32"/>
          <w:lang w:val="zh-CN"/>
        </w:rPr>
      </w:pPr>
      <w:r>
        <w:rPr>
          <w:rFonts w:eastAsia="黑体"/>
          <w:bCs/>
          <w:szCs w:val="32"/>
          <w:lang w:val="zh-CN"/>
        </w:rPr>
        <w:t>四、资格文件的</w:t>
      </w:r>
      <w:r>
        <w:rPr>
          <w:rFonts w:eastAsia="黑体"/>
          <w:bCs/>
          <w:szCs w:val="32"/>
        </w:rPr>
        <w:t>提</w:t>
      </w:r>
      <w:r>
        <w:rPr>
          <w:rFonts w:eastAsia="黑体"/>
          <w:bCs/>
          <w:szCs w:val="32"/>
          <w:lang w:val="zh-CN"/>
        </w:rPr>
        <w:t>交</w:t>
      </w:r>
    </w:p>
    <w:p>
      <w:pPr>
        <w:overflowPunct/>
        <w:autoSpaceDE w:val="0"/>
        <w:autoSpaceDN w:val="0"/>
        <w:adjustRightInd/>
        <w:snapToGrid/>
        <w:spacing w:line="560" w:lineRule="exact"/>
        <w:ind w:firstLine="643"/>
        <w:rPr>
          <w:b/>
          <w:bCs/>
          <w:szCs w:val="32"/>
        </w:rPr>
      </w:pPr>
      <w:r>
        <w:rPr>
          <w:b/>
          <w:bCs/>
          <w:szCs w:val="32"/>
        </w:rPr>
        <w:t>11.资格文件的密封和递交</w:t>
      </w:r>
    </w:p>
    <w:p>
      <w:pPr>
        <w:overflowPunct/>
        <w:autoSpaceDE w:val="0"/>
        <w:autoSpaceDN w:val="0"/>
        <w:adjustRightInd/>
        <w:snapToGrid/>
        <w:spacing w:line="560" w:lineRule="exact"/>
        <w:ind w:firstLine="640"/>
        <w:rPr>
          <w:szCs w:val="32"/>
        </w:rPr>
      </w:pPr>
      <w:r>
        <w:rPr>
          <w:szCs w:val="32"/>
        </w:rPr>
        <w:t>11.1投标人的资格文件一式伍份（正本壹份、副本肆份），同时应提供电子版资格文件（盖章版本）壹份（一般应为PDF格式、U盘形式（单独封装）、随纸质文件一并密封提交）。当电子版文件和纸质正本文件不一致时，以纸质正本文件为准。每套资格文件须清楚标明“正本”、“副本”。如果它们之间内容有差异，以正本为准。</w:t>
      </w:r>
    </w:p>
    <w:p>
      <w:pPr>
        <w:overflowPunct/>
        <w:autoSpaceDE w:val="0"/>
        <w:autoSpaceDN w:val="0"/>
        <w:adjustRightInd/>
        <w:snapToGrid/>
        <w:spacing w:line="560" w:lineRule="exact"/>
        <w:ind w:firstLine="640"/>
        <w:rPr>
          <w:szCs w:val="32"/>
        </w:rPr>
      </w:pPr>
      <w:r>
        <w:rPr>
          <w:szCs w:val="32"/>
        </w:rPr>
        <w:t>11.2 资格文件正本和所有副本均需打印或用不褪色墨水书写，并由投标人的法定代表人或委托代理人签字并在资格文件中注明须加盖公章的地方加盖公章，如为委托代理人签字的应附“法定代表人授权委托书”，正本必须为原件，但投标人的相关证明文件可采用复印件，采用复印件的，采购代理机构、评标委员会认为需要时，投标人应提供原件供核对。</w:t>
      </w:r>
    </w:p>
    <w:p>
      <w:pPr>
        <w:overflowPunct/>
        <w:autoSpaceDE w:val="0"/>
        <w:autoSpaceDN w:val="0"/>
        <w:adjustRightInd/>
        <w:snapToGrid/>
        <w:spacing w:line="560" w:lineRule="exact"/>
        <w:ind w:firstLine="640"/>
        <w:rPr>
          <w:szCs w:val="32"/>
        </w:rPr>
      </w:pPr>
      <w:r>
        <w:rPr>
          <w:szCs w:val="32"/>
        </w:rPr>
        <w:t>11.3 资格文件提倡按照A4幅面打印或复印并进行装订，如有资料超过A4幅面折叠成A4幅面；资格文件装订提倡采用胶装的形式，密封递交。</w:t>
      </w:r>
    </w:p>
    <w:p>
      <w:pPr>
        <w:shd w:val="clear" w:color="auto" w:fill="FFFFFF"/>
        <w:overflowPunct/>
        <w:adjustRightInd/>
        <w:snapToGrid/>
        <w:spacing w:line="560" w:lineRule="exact"/>
        <w:ind w:firstLine="640"/>
        <w:jc w:val="left"/>
        <w:rPr>
          <w:szCs w:val="32"/>
        </w:rPr>
      </w:pPr>
      <w:r>
        <w:rPr>
          <w:szCs w:val="32"/>
        </w:rPr>
        <w:t>11.4 投标人应当在资格文件要求提交资格文件的截止时间前，将资格文件密封送达投标地点。任何单位和个人不得在开标前开启资格文件。</w:t>
      </w:r>
    </w:p>
    <w:p>
      <w:pPr>
        <w:shd w:val="clear" w:color="auto" w:fill="FFFFFF"/>
        <w:overflowPunct/>
        <w:adjustRightInd/>
        <w:snapToGrid/>
        <w:spacing w:line="560" w:lineRule="exact"/>
        <w:ind w:firstLine="640"/>
        <w:jc w:val="left"/>
        <w:rPr>
          <w:szCs w:val="32"/>
        </w:rPr>
      </w:pPr>
      <w:r>
        <w:rPr>
          <w:bCs/>
          <w:szCs w:val="32"/>
        </w:rPr>
        <w:t>11.5 采购代理机构可以按照规定，通过修改</w:t>
      </w:r>
      <w:r>
        <w:rPr>
          <w:rFonts w:hint="eastAsia"/>
          <w:bCs/>
          <w:szCs w:val="32"/>
        </w:rPr>
        <w:t>资格审查</w:t>
      </w:r>
      <w:r>
        <w:rPr>
          <w:bCs/>
          <w:szCs w:val="32"/>
        </w:rPr>
        <w:t>文件酌情延长提交资格文件截止日期，在此情况下，投标人的所有权利和义务均以延长后新的截止日期为准。</w:t>
      </w:r>
      <w:bookmarkStart w:id="35" w:name="_Hlk44579810"/>
    </w:p>
    <w:bookmarkEnd w:id="35"/>
    <w:p>
      <w:pPr>
        <w:shd w:val="clear" w:color="auto" w:fill="FFFFFF"/>
        <w:overflowPunct/>
        <w:adjustRightInd/>
        <w:snapToGrid/>
        <w:spacing w:line="560" w:lineRule="exact"/>
        <w:ind w:firstLine="643"/>
        <w:jc w:val="left"/>
        <w:rPr>
          <w:b/>
          <w:szCs w:val="32"/>
        </w:rPr>
      </w:pPr>
      <w:r>
        <w:rPr>
          <w:b/>
          <w:szCs w:val="32"/>
        </w:rPr>
        <w:t>12.有下列情形的资格文件将被拒收</w:t>
      </w:r>
    </w:p>
    <w:p>
      <w:pPr>
        <w:shd w:val="clear" w:color="auto" w:fill="FFFFFF"/>
        <w:overflowPunct/>
        <w:adjustRightInd/>
        <w:snapToGrid/>
        <w:spacing w:line="560" w:lineRule="exact"/>
        <w:ind w:firstLine="640"/>
        <w:jc w:val="left"/>
        <w:rPr>
          <w:bCs/>
          <w:szCs w:val="32"/>
        </w:rPr>
      </w:pPr>
      <w:r>
        <w:rPr>
          <w:bCs/>
          <w:szCs w:val="32"/>
        </w:rPr>
        <w:t>12.1逾期送达的；</w:t>
      </w:r>
    </w:p>
    <w:p>
      <w:pPr>
        <w:shd w:val="clear" w:color="auto" w:fill="FFFFFF"/>
        <w:overflowPunct/>
        <w:adjustRightInd/>
        <w:snapToGrid/>
        <w:spacing w:line="560" w:lineRule="exact"/>
        <w:ind w:firstLine="640"/>
        <w:jc w:val="left"/>
        <w:rPr>
          <w:bCs/>
          <w:szCs w:val="32"/>
        </w:rPr>
      </w:pPr>
      <w:r>
        <w:rPr>
          <w:bCs/>
          <w:szCs w:val="32"/>
        </w:rPr>
        <w:t>12.2未按照</w:t>
      </w:r>
      <w:r>
        <w:rPr>
          <w:rFonts w:hint="eastAsia"/>
          <w:bCs/>
          <w:szCs w:val="32"/>
        </w:rPr>
        <w:t>资格审查</w:t>
      </w:r>
      <w:r>
        <w:rPr>
          <w:bCs/>
          <w:szCs w:val="32"/>
        </w:rPr>
        <w:t>文件要求密封的。</w:t>
      </w:r>
    </w:p>
    <w:p>
      <w:pPr>
        <w:overflowPunct/>
        <w:autoSpaceDE w:val="0"/>
        <w:autoSpaceDN w:val="0"/>
        <w:adjustRightInd/>
        <w:snapToGrid/>
        <w:spacing w:line="560" w:lineRule="exact"/>
        <w:ind w:firstLine="643"/>
        <w:rPr>
          <w:szCs w:val="32"/>
          <w:lang w:val="zh-CN"/>
        </w:rPr>
      </w:pPr>
      <w:r>
        <w:rPr>
          <w:b/>
          <w:bCs/>
          <w:szCs w:val="32"/>
          <w:lang w:val="zh-CN"/>
        </w:rPr>
        <w:t>1</w:t>
      </w:r>
      <w:r>
        <w:rPr>
          <w:b/>
          <w:bCs/>
          <w:szCs w:val="32"/>
        </w:rPr>
        <w:t>3</w:t>
      </w:r>
      <w:r>
        <w:rPr>
          <w:b/>
          <w:bCs/>
          <w:szCs w:val="32"/>
          <w:lang w:val="zh-CN"/>
        </w:rPr>
        <w:t>.资格文件的修改和撤回</w:t>
      </w:r>
      <w:bookmarkStart w:id="36" w:name="OLE_LINK4"/>
    </w:p>
    <w:p>
      <w:pPr>
        <w:shd w:val="clear" w:color="auto" w:fill="FFFFFF"/>
        <w:overflowPunct/>
        <w:adjustRightInd/>
        <w:snapToGrid/>
        <w:spacing w:line="560" w:lineRule="exact"/>
        <w:ind w:firstLine="640"/>
        <w:jc w:val="left"/>
        <w:rPr>
          <w:bCs/>
          <w:szCs w:val="32"/>
          <w:lang w:val="zh-CN"/>
        </w:rPr>
      </w:pPr>
      <w:r>
        <w:rPr>
          <w:bCs/>
          <w:szCs w:val="32"/>
          <w:lang w:val="zh-CN"/>
        </w:rPr>
        <w:t>1</w:t>
      </w:r>
      <w:r>
        <w:rPr>
          <w:bCs/>
          <w:szCs w:val="32"/>
        </w:rPr>
        <w:t>3</w:t>
      </w:r>
      <w:r>
        <w:rPr>
          <w:bCs/>
          <w:szCs w:val="32"/>
          <w:lang w:val="zh-CN"/>
        </w:rPr>
        <w:t>.1投标人在投标截止时</w:t>
      </w:r>
      <w:r>
        <w:rPr>
          <w:rFonts w:hint="eastAsia"/>
          <w:bCs/>
          <w:szCs w:val="32"/>
          <w:lang w:val="zh-CN"/>
        </w:rPr>
        <w:t>间之</w:t>
      </w:r>
      <w:r>
        <w:rPr>
          <w:bCs/>
          <w:szCs w:val="32"/>
          <w:lang w:val="zh-CN"/>
        </w:rPr>
        <w:t>前，可以对所递交的资格文件进行补充、修改或者撤回，并书面通知采购人或者采购代理机构。补充、修改的内容应当按照</w:t>
      </w:r>
      <w:r>
        <w:rPr>
          <w:rFonts w:hint="eastAsia"/>
          <w:bCs/>
          <w:szCs w:val="32"/>
        </w:rPr>
        <w:t>资格审查</w:t>
      </w:r>
      <w:r>
        <w:rPr>
          <w:bCs/>
          <w:szCs w:val="32"/>
          <w:lang w:val="zh-CN"/>
        </w:rPr>
        <w:t>文件要求签署、盖章、密封后，作为资格文件的组成部分。</w:t>
      </w:r>
    </w:p>
    <w:bookmarkEnd w:id="36"/>
    <w:p>
      <w:pPr>
        <w:shd w:val="clear" w:color="auto" w:fill="FFFFFF"/>
        <w:overflowPunct/>
        <w:adjustRightInd/>
        <w:snapToGrid/>
        <w:spacing w:line="560" w:lineRule="exact"/>
        <w:ind w:firstLine="640"/>
        <w:jc w:val="left"/>
        <w:rPr>
          <w:bCs/>
          <w:szCs w:val="32"/>
          <w:lang w:val="zh-CN"/>
        </w:rPr>
      </w:pPr>
      <w:r>
        <w:rPr>
          <w:bCs/>
          <w:szCs w:val="32"/>
          <w:lang w:val="zh-CN"/>
        </w:rPr>
        <w:t>1</w:t>
      </w:r>
      <w:r>
        <w:rPr>
          <w:bCs/>
          <w:szCs w:val="32"/>
        </w:rPr>
        <w:t>3</w:t>
      </w:r>
      <w:r>
        <w:rPr>
          <w:bCs/>
          <w:szCs w:val="32"/>
          <w:lang w:val="zh-CN"/>
        </w:rPr>
        <w:t>.</w:t>
      </w:r>
      <w:r>
        <w:rPr>
          <w:bCs/>
          <w:szCs w:val="32"/>
        </w:rPr>
        <w:t>2</w:t>
      </w:r>
      <w:r>
        <w:rPr>
          <w:bCs/>
          <w:szCs w:val="32"/>
          <w:lang w:val="zh-CN"/>
        </w:rPr>
        <w:t xml:space="preserve"> 在提交资格文件截止时间至</w:t>
      </w:r>
      <w:r>
        <w:rPr>
          <w:rFonts w:hint="eastAsia"/>
          <w:bCs/>
          <w:szCs w:val="32"/>
        </w:rPr>
        <w:t>资格审查</w:t>
      </w:r>
      <w:r>
        <w:rPr>
          <w:bCs/>
          <w:szCs w:val="32"/>
        </w:rPr>
        <w:t>文件</w:t>
      </w:r>
      <w:r>
        <w:rPr>
          <w:bCs/>
          <w:szCs w:val="32"/>
          <w:lang w:val="zh-CN"/>
        </w:rPr>
        <w:t>中规定的</w:t>
      </w:r>
      <w:r>
        <w:rPr>
          <w:bCs/>
          <w:szCs w:val="32"/>
        </w:rPr>
        <w:t>投标</w:t>
      </w:r>
      <w:r>
        <w:rPr>
          <w:bCs/>
          <w:szCs w:val="32"/>
          <w:lang w:val="zh-CN"/>
        </w:rPr>
        <w:t>有效期满之间的这段时间内，投标人不得撤回其资格文件。</w:t>
      </w:r>
    </w:p>
    <w:p>
      <w:pPr>
        <w:overflowPunct/>
        <w:autoSpaceDE w:val="0"/>
        <w:autoSpaceDN w:val="0"/>
        <w:adjustRightInd/>
        <w:snapToGrid/>
        <w:spacing w:line="560" w:lineRule="exact"/>
        <w:ind w:firstLine="643"/>
        <w:rPr>
          <w:b/>
          <w:bCs/>
          <w:szCs w:val="32"/>
          <w:lang w:val="zh-CN"/>
        </w:rPr>
      </w:pPr>
      <w:r>
        <w:rPr>
          <w:b/>
          <w:bCs/>
          <w:szCs w:val="32"/>
          <w:lang w:val="zh-CN"/>
        </w:rPr>
        <w:t>1</w:t>
      </w:r>
      <w:r>
        <w:rPr>
          <w:b/>
          <w:bCs/>
          <w:szCs w:val="32"/>
        </w:rPr>
        <w:t>4</w:t>
      </w:r>
      <w:r>
        <w:rPr>
          <w:b/>
          <w:bCs/>
          <w:szCs w:val="32"/>
          <w:lang w:val="zh-CN"/>
        </w:rPr>
        <w:t>.诚实信用</w:t>
      </w:r>
    </w:p>
    <w:p>
      <w:pPr>
        <w:overflowPunct/>
        <w:autoSpaceDE w:val="0"/>
        <w:autoSpaceDN w:val="0"/>
        <w:adjustRightInd/>
        <w:snapToGrid/>
        <w:spacing w:line="560" w:lineRule="exact"/>
        <w:ind w:firstLine="640"/>
        <w:rPr>
          <w:szCs w:val="32"/>
          <w:lang w:val="zh-CN"/>
        </w:rPr>
      </w:pPr>
      <w:r>
        <w:rPr>
          <w:szCs w:val="32"/>
          <w:lang w:val="zh-CN"/>
        </w:rPr>
        <w:t>1</w:t>
      </w:r>
      <w:r>
        <w:rPr>
          <w:szCs w:val="32"/>
        </w:rPr>
        <w:t>4</w:t>
      </w:r>
      <w:r>
        <w:rPr>
          <w:szCs w:val="32"/>
          <w:lang w:val="zh-CN"/>
        </w:rPr>
        <w:t>.1 投标人之间不得相互串通</w:t>
      </w:r>
      <w:r>
        <w:rPr>
          <w:szCs w:val="32"/>
        </w:rPr>
        <w:t>投标</w:t>
      </w:r>
      <w:r>
        <w:rPr>
          <w:szCs w:val="32"/>
          <w:lang w:val="zh-CN"/>
        </w:rPr>
        <w:t>，不得妨碍其他投标人的公平竞争，不得损害采购人和其他投标人的合法权益。</w:t>
      </w:r>
    </w:p>
    <w:p>
      <w:pPr>
        <w:overflowPunct/>
        <w:autoSpaceDE w:val="0"/>
        <w:autoSpaceDN w:val="0"/>
        <w:adjustRightInd/>
        <w:snapToGrid/>
        <w:spacing w:line="560" w:lineRule="exact"/>
        <w:ind w:firstLine="640"/>
        <w:rPr>
          <w:szCs w:val="32"/>
        </w:rPr>
      </w:pPr>
      <w:r>
        <w:rPr>
          <w:szCs w:val="32"/>
        </w:rPr>
        <w:t>14.2 在评标过程中发现投标人有上述情形的，资格审查小组应当认定其投标无效。</w:t>
      </w:r>
    </w:p>
    <w:p>
      <w:pPr>
        <w:overflowPunct/>
        <w:adjustRightInd/>
        <w:snapToGrid/>
        <w:spacing w:line="560" w:lineRule="exact"/>
        <w:ind w:firstLine="640"/>
        <w:rPr>
          <w:szCs w:val="32"/>
          <w:lang w:val="zh-CN"/>
        </w:rPr>
      </w:pPr>
      <w:r>
        <w:rPr>
          <w:szCs w:val="32"/>
          <w:lang w:val="zh-CN"/>
        </w:rPr>
        <w:t>1</w:t>
      </w:r>
      <w:r>
        <w:rPr>
          <w:szCs w:val="32"/>
        </w:rPr>
        <w:t>4</w:t>
      </w:r>
      <w:r>
        <w:rPr>
          <w:szCs w:val="32"/>
          <w:lang w:val="zh-CN"/>
        </w:rPr>
        <w:t>.</w:t>
      </w:r>
      <w:r>
        <w:rPr>
          <w:szCs w:val="32"/>
        </w:rPr>
        <w:t>3</w:t>
      </w:r>
      <w:r>
        <w:rPr>
          <w:szCs w:val="32"/>
          <w:lang w:val="zh-CN"/>
        </w:rPr>
        <w:t xml:space="preserve"> 投标人不得虚假承诺，否则，按照提供虚假材料谋取成交处理。</w:t>
      </w:r>
    </w:p>
    <w:p>
      <w:pPr>
        <w:overflowPunct/>
        <w:autoSpaceDE w:val="0"/>
        <w:autoSpaceDN w:val="0"/>
        <w:adjustRightInd/>
        <w:snapToGrid/>
        <w:spacing w:line="560" w:lineRule="exact"/>
        <w:ind w:firstLine="640"/>
        <w:rPr>
          <w:rFonts w:eastAsia="黑体"/>
          <w:szCs w:val="32"/>
          <w:lang w:val="zh-CN"/>
        </w:rPr>
      </w:pPr>
      <w:r>
        <w:rPr>
          <w:rFonts w:eastAsia="黑体"/>
          <w:szCs w:val="32"/>
          <w:lang w:val="zh-CN"/>
        </w:rPr>
        <w:t>五、资格文件的开启与评审</w:t>
      </w:r>
    </w:p>
    <w:p>
      <w:pPr>
        <w:overflowPunct/>
        <w:autoSpaceDE w:val="0"/>
        <w:autoSpaceDN w:val="0"/>
        <w:adjustRightInd/>
        <w:snapToGrid/>
        <w:spacing w:line="560" w:lineRule="exact"/>
        <w:ind w:firstLine="643"/>
        <w:rPr>
          <w:b/>
          <w:bCs/>
          <w:szCs w:val="32"/>
          <w:lang w:val="zh-CN"/>
        </w:rPr>
      </w:pPr>
      <w:r>
        <w:rPr>
          <w:b/>
          <w:bCs/>
          <w:szCs w:val="32"/>
          <w:lang w:val="zh-CN"/>
        </w:rPr>
        <w:t>1</w:t>
      </w:r>
      <w:r>
        <w:rPr>
          <w:b/>
          <w:bCs/>
          <w:szCs w:val="32"/>
        </w:rPr>
        <w:t>5</w:t>
      </w:r>
      <w:r>
        <w:rPr>
          <w:b/>
          <w:bCs/>
          <w:szCs w:val="32"/>
          <w:lang w:val="zh-CN"/>
        </w:rPr>
        <w:t>.资格文件的开启</w:t>
      </w:r>
    </w:p>
    <w:p>
      <w:pPr>
        <w:overflowPunct/>
        <w:autoSpaceDE w:val="0"/>
        <w:autoSpaceDN w:val="0"/>
        <w:adjustRightInd/>
        <w:snapToGrid/>
        <w:spacing w:line="560" w:lineRule="exact"/>
        <w:ind w:firstLine="640"/>
        <w:rPr>
          <w:kern w:val="0"/>
          <w:szCs w:val="32"/>
        </w:rPr>
      </w:pPr>
      <w:r>
        <w:rPr>
          <w:szCs w:val="32"/>
          <w:lang w:val="zh-CN"/>
        </w:rPr>
        <w:t>1</w:t>
      </w:r>
      <w:r>
        <w:rPr>
          <w:szCs w:val="32"/>
        </w:rPr>
        <w:t>5</w:t>
      </w:r>
      <w:r>
        <w:rPr>
          <w:szCs w:val="32"/>
          <w:lang w:val="zh-CN"/>
        </w:rPr>
        <w:t xml:space="preserve">.1 </w:t>
      </w:r>
      <w:r>
        <w:rPr>
          <w:kern w:val="0"/>
          <w:szCs w:val="32"/>
        </w:rPr>
        <w:t>采购代理机构在</w:t>
      </w:r>
      <w:r>
        <w:rPr>
          <w:rFonts w:hint="eastAsia"/>
          <w:kern w:val="0"/>
          <w:szCs w:val="32"/>
        </w:rPr>
        <w:t>资格审查</w:t>
      </w:r>
      <w:r>
        <w:rPr>
          <w:kern w:val="0"/>
          <w:szCs w:val="32"/>
        </w:rPr>
        <w:t>公告中规定的时间和地点开启资格文件。投标人应委派代表准时参加，参加开标的代表须签名报到以证明其出席。</w:t>
      </w:r>
    </w:p>
    <w:p>
      <w:pPr>
        <w:overflowPunct/>
        <w:autoSpaceDE w:val="0"/>
        <w:autoSpaceDN w:val="0"/>
        <w:adjustRightInd/>
        <w:snapToGrid/>
        <w:spacing w:line="560" w:lineRule="exact"/>
        <w:ind w:firstLine="640"/>
        <w:rPr>
          <w:kern w:val="0"/>
          <w:szCs w:val="32"/>
        </w:rPr>
      </w:pPr>
      <w:r>
        <w:rPr>
          <w:kern w:val="0"/>
          <w:szCs w:val="32"/>
        </w:rPr>
        <w:t>15.2 开标时，应当由投标人或者其推选的代表检查资格文件的密封情况；经确认无误后，由采购人或者采购代理机构工作人员当众拆封，宣布投标人名称、资格文件规定的需要宣布的其他内容。</w:t>
      </w:r>
    </w:p>
    <w:p>
      <w:pPr>
        <w:overflowPunct/>
        <w:autoSpaceDE w:val="0"/>
        <w:autoSpaceDN w:val="0"/>
        <w:adjustRightInd/>
        <w:snapToGrid/>
        <w:spacing w:line="560" w:lineRule="exact"/>
        <w:ind w:firstLine="640"/>
        <w:rPr>
          <w:kern w:val="0"/>
          <w:szCs w:val="32"/>
        </w:rPr>
      </w:pPr>
      <w:r>
        <w:rPr>
          <w:kern w:val="0"/>
          <w:szCs w:val="32"/>
        </w:rPr>
        <w:t>15.3 各标段投标人不足3家的，不得开标。</w:t>
      </w:r>
    </w:p>
    <w:p>
      <w:pPr>
        <w:overflowPunct/>
        <w:autoSpaceDE w:val="0"/>
        <w:autoSpaceDN w:val="0"/>
        <w:adjustRightInd/>
        <w:snapToGrid/>
        <w:spacing w:line="560" w:lineRule="exact"/>
        <w:ind w:firstLine="640"/>
        <w:rPr>
          <w:kern w:val="0"/>
          <w:szCs w:val="32"/>
        </w:rPr>
      </w:pPr>
      <w:r>
        <w:rPr>
          <w:kern w:val="0"/>
          <w:szCs w:val="32"/>
        </w:rPr>
        <w:t>15.4 开标过程由采购代理机构负责记录，由参加开标的各投标人代表和相关工作人员签字确认后随资格文件一并存档。</w:t>
      </w:r>
    </w:p>
    <w:p>
      <w:pPr>
        <w:overflowPunct/>
        <w:autoSpaceDE w:val="0"/>
        <w:autoSpaceDN w:val="0"/>
        <w:adjustRightInd/>
        <w:snapToGrid/>
        <w:spacing w:line="560" w:lineRule="exact"/>
        <w:ind w:firstLine="640"/>
        <w:rPr>
          <w:kern w:val="0"/>
          <w:szCs w:val="32"/>
        </w:rPr>
      </w:pPr>
      <w:r>
        <w:rPr>
          <w:kern w:val="0"/>
          <w:szCs w:val="32"/>
        </w:rPr>
        <w:t>15.5 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pPr>
        <w:overflowPunct/>
        <w:autoSpaceDE w:val="0"/>
        <w:autoSpaceDN w:val="0"/>
        <w:adjustRightInd/>
        <w:snapToGrid/>
        <w:spacing w:line="560" w:lineRule="exact"/>
        <w:ind w:firstLine="640"/>
        <w:rPr>
          <w:kern w:val="0"/>
          <w:szCs w:val="32"/>
        </w:rPr>
      </w:pPr>
      <w:r>
        <w:rPr>
          <w:kern w:val="0"/>
          <w:szCs w:val="32"/>
        </w:rPr>
        <w:t>15.6 投标人未参加开标的，视同认可开标结果。</w:t>
      </w:r>
    </w:p>
    <w:p>
      <w:pPr>
        <w:overflowPunct/>
        <w:autoSpaceDE w:val="0"/>
        <w:autoSpaceDN w:val="0"/>
        <w:adjustRightInd/>
        <w:snapToGrid/>
        <w:spacing w:line="560" w:lineRule="exact"/>
        <w:ind w:firstLine="643"/>
        <w:rPr>
          <w:b/>
          <w:bCs/>
          <w:szCs w:val="32"/>
          <w:lang w:val="zh-CN"/>
        </w:rPr>
      </w:pPr>
      <w:r>
        <w:rPr>
          <w:b/>
          <w:bCs/>
          <w:szCs w:val="32"/>
          <w:lang w:val="zh-CN"/>
        </w:rPr>
        <w:t>1</w:t>
      </w:r>
      <w:r>
        <w:rPr>
          <w:b/>
          <w:bCs/>
          <w:szCs w:val="32"/>
        </w:rPr>
        <w:t>6</w:t>
      </w:r>
      <w:r>
        <w:rPr>
          <w:b/>
          <w:bCs/>
          <w:szCs w:val="32"/>
          <w:lang w:val="zh-CN"/>
        </w:rPr>
        <w:t>.</w:t>
      </w:r>
      <w:r>
        <w:rPr>
          <w:b/>
          <w:bCs/>
          <w:szCs w:val="32"/>
        </w:rPr>
        <w:t>评审</w:t>
      </w:r>
    </w:p>
    <w:p>
      <w:pPr>
        <w:overflowPunct/>
        <w:autoSpaceDE w:val="0"/>
        <w:autoSpaceDN w:val="0"/>
        <w:adjustRightInd/>
        <w:snapToGrid/>
        <w:spacing w:line="560" w:lineRule="exact"/>
        <w:ind w:firstLine="640"/>
        <w:rPr>
          <w:szCs w:val="32"/>
          <w:lang w:val="zh-CN"/>
        </w:rPr>
      </w:pPr>
      <w:r>
        <w:rPr>
          <w:szCs w:val="32"/>
          <w:lang w:val="zh-CN"/>
        </w:rPr>
        <w:t>1</w:t>
      </w:r>
      <w:r>
        <w:rPr>
          <w:szCs w:val="32"/>
        </w:rPr>
        <w:t>6</w:t>
      </w:r>
      <w:r>
        <w:rPr>
          <w:szCs w:val="32"/>
          <w:lang w:val="zh-CN"/>
        </w:rPr>
        <w:t xml:space="preserve">.1 </w:t>
      </w:r>
      <w:r>
        <w:rPr>
          <w:szCs w:val="32"/>
        </w:rPr>
        <w:t>资格审查小组独立工作，负责评审所有资格文件并确定</w:t>
      </w:r>
      <w:r>
        <w:rPr>
          <w:rFonts w:hint="eastAsia"/>
          <w:szCs w:val="32"/>
        </w:rPr>
        <w:t>资格审查</w:t>
      </w:r>
      <w:r>
        <w:rPr>
          <w:szCs w:val="32"/>
        </w:rPr>
        <w:t>通过的投标人。</w:t>
      </w:r>
    </w:p>
    <w:p>
      <w:pPr>
        <w:overflowPunct/>
        <w:autoSpaceDE w:val="0"/>
        <w:autoSpaceDN w:val="0"/>
        <w:adjustRightInd/>
        <w:snapToGrid/>
        <w:spacing w:line="560" w:lineRule="exact"/>
        <w:ind w:firstLine="643"/>
        <w:rPr>
          <w:b/>
          <w:bCs/>
          <w:szCs w:val="32"/>
          <w:lang w:val="zh-CN"/>
        </w:rPr>
      </w:pPr>
      <w:r>
        <w:rPr>
          <w:b/>
          <w:bCs/>
          <w:szCs w:val="32"/>
          <w:lang w:val="zh-CN"/>
        </w:rPr>
        <w:t>1</w:t>
      </w:r>
      <w:r>
        <w:rPr>
          <w:b/>
          <w:bCs/>
          <w:szCs w:val="32"/>
        </w:rPr>
        <w:t>7</w:t>
      </w:r>
      <w:r>
        <w:rPr>
          <w:b/>
          <w:bCs/>
          <w:szCs w:val="32"/>
          <w:lang w:val="zh-CN"/>
        </w:rPr>
        <w:t>.评审过程的保密与公正</w:t>
      </w:r>
    </w:p>
    <w:p>
      <w:pPr>
        <w:overflowPunct/>
        <w:autoSpaceDE w:val="0"/>
        <w:autoSpaceDN w:val="0"/>
        <w:adjustRightInd/>
        <w:snapToGrid/>
        <w:spacing w:line="560" w:lineRule="exact"/>
        <w:ind w:firstLine="640"/>
        <w:rPr>
          <w:szCs w:val="32"/>
          <w:lang w:val="zh-CN"/>
        </w:rPr>
      </w:pPr>
      <w:r>
        <w:rPr>
          <w:szCs w:val="32"/>
        </w:rPr>
        <w:t>17.1</w:t>
      </w:r>
      <w:r>
        <w:rPr>
          <w:szCs w:val="32"/>
          <w:lang w:val="zh-CN"/>
        </w:rPr>
        <w:t xml:space="preserve"> 采购人和采购代理机构将采取必要措施，保证评标在严格保密的情况下进行。</w:t>
      </w:r>
    </w:p>
    <w:p>
      <w:pPr>
        <w:overflowPunct/>
        <w:autoSpaceDE w:val="0"/>
        <w:autoSpaceDN w:val="0"/>
        <w:adjustRightInd/>
        <w:snapToGrid/>
        <w:spacing w:line="560" w:lineRule="exact"/>
        <w:ind w:firstLine="640"/>
        <w:rPr>
          <w:szCs w:val="32"/>
          <w:lang w:val="zh-CN"/>
        </w:rPr>
      </w:pPr>
      <w:r>
        <w:rPr>
          <w:szCs w:val="32"/>
          <w:lang w:val="zh-CN"/>
        </w:rPr>
        <w:t>1</w:t>
      </w:r>
      <w:r>
        <w:rPr>
          <w:szCs w:val="32"/>
        </w:rPr>
        <w:t>7</w:t>
      </w:r>
      <w:r>
        <w:rPr>
          <w:szCs w:val="32"/>
          <w:lang w:val="zh-CN"/>
        </w:rPr>
        <w:t>.</w:t>
      </w:r>
      <w:r>
        <w:rPr>
          <w:szCs w:val="32"/>
        </w:rPr>
        <w:t>2</w:t>
      </w:r>
      <w:r>
        <w:rPr>
          <w:szCs w:val="32"/>
          <w:lang w:val="zh-CN"/>
        </w:rPr>
        <w:t xml:space="preserve"> 资格审查小组、采购人和采购代理机构工作人员、相关监督人员等与评审工作有关的人员，对评审情况以及在评审过程中获悉的国家秘密、商业秘密负有保密责任。</w:t>
      </w:r>
    </w:p>
    <w:p>
      <w:pPr>
        <w:overflowPunct/>
        <w:autoSpaceDE w:val="0"/>
        <w:autoSpaceDN w:val="0"/>
        <w:adjustRightInd/>
        <w:snapToGrid/>
        <w:spacing w:line="560" w:lineRule="exact"/>
        <w:ind w:firstLine="640"/>
        <w:rPr>
          <w:szCs w:val="32"/>
          <w:lang w:val="zh-CN"/>
        </w:rPr>
      </w:pPr>
      <w:r>
        <w:rPr>
          <w:szCs w:val="32"/>
          <w:lang w:val="zh-CN"/>
        </w:rPr>
        <w:t>1</w:t>
      </w:r>
      <w:r>
        <w:rPr>
          <w:szCs w:val="32"/>
        </w:rPr>
        <w:t>7</w:t>
      </w:r>
      <w:r>
        <w:rPr>
          <w:szCs w:val="32"/>
          <w:lang w:val="zh-CN"/>
        </w:rPr>
        <w:t>.</w:t>
      </w:r>
      <w:r>
        <w:rPr>
          <w:szCs w:val="32"/>
        </w:rPr>
        <w:t>3</w:t>
      </w:r>
      <w:r>
        <w:rPr>
          <w:szCs w:val="32"/>
          <w:lang w:val="zh-CN"/>
        </w:rPr>
        <w:t xml:space="preserve"> 投标人不得以任何方式影响评审</w:t>
      </w:r>
      <w:r>
        <w:rPr>
          <w:szCs w:val="32"/>
        </w:rPr>
        <w:t>工作</w:t>
      </w:r>
      <w:r>
        <w:rPr>
          <w:szCs w:val="32"/>
          <w:lang w:val="zh-CN"/>
        </w:rPr>
        <w:t>，否则其资格文件将被作为无效资格文件。</w:t>
      </w:r>
    </w:p>
    <w:p>
      <w:pPr>
        <w:overflowPunct/>
        <w:autoSpaceDE w:val="0"/>
        <w:autoSpaceDN w:val="0"/>
        <w:adjustRightInd/>
        <w:snapToGrid/>
        <w:spacing w:line="560" w:lineRule="exact"/>
        <w:ind w:firstLine="640"/>
        <w:rPr>
          <w:szCs w:val="32"/>
          <w:lang w:val="zh-CN"/>
        </w:rPr>
      </w:pPr>
      <w:r>
        <w:rPr>
          <w:szCs w:val="32"/>
        </w:rPr>
        <w:t xml:space="preserve">17.4 </w:t>
      </w:r>
      <w:r>
        <w:rPr>
          <w:szCs w:val="32"/>
          <w:lang w:val="zh-CN"/>
        </w:rPr>
        <w:t>任何单位和个人不得非法干预、影响评标办法的确定，以及评标过程和结果。</w:t>
      </w:r>
    </w:p>
    <w:p>
      <w:pPr>
        <w:overflowPunct/>
        <w:autoSpaceDE w:val="0"/>
        <w:autoSpaceDN w:val="0"/>
        <w:adjustRightInd/>
        <w:snapToGrid/>
        <w:spacing w:line="560" w:lineRule="exact"/>
        <w:ind w:firstLine="640"/>
        <w:rPr>
          <w:szCs w:val="32"/>
          <w:lang w:val="zh-CN"/>
        </w:rPr>
      </w:pPr>
      <w:r>
        <w:rPr>
          <w:szCs w:val="32"/>
        </w:rPr>
        <w:t xml:space="preserve">17.5 </w:t>
      </w:r>
      <w:r>
        <w:rPr>
          <w:szCs w:val="32"/>
          <w:lang w:val="zh-CN"/>
        </w:rPr>
        <w:t>凡是与审查、澄清、评价和比较投标的有关资料等，均不向投标人及与评标无关的其他人员透露。</w:t>
      </w:r>
    </w:p>
    <w:p>
      <w:pPr>
        <w:overflowPunct/>
        <w:autoSpaceDE w:val="0"/>
        <w:autoSpaceDN w:val="0"/>
        <w:adjustRightInd/>
        <w:snapToGrid/>
        <w:spacing w:line="560" w:lineRule="exact"/>
        <w:ind w:firstLine="640"/>
        <w:rPr>
          <w:szCs w:val="32"/>
          <w:lang w:val="zh-CN"/>
        </w:rPr>
      </w:pPr>
      <w:r>
        <w:rPr>
          <w:szCs w:val="32"/>
          <w:lang w:val="zh-CN"/>
        </w:rPr>
        <w:t>1</w:t>
      </w:r>
      <w:r>
        <w:rPr>
          <w:szCs w:val="32"/>
        </w:rPr>
        <w:t>7</w:t>
      </w:r>
      <w:r>
        <w:rPr>
          <w:szCs w:val="32"/>
          <w:lang w:val="zh-CN"/>
        </w:rPr>
        <w:t>.</w:t>
      </w:r>
      <w:r>
        <w:rPr>
          <w:szCs w:val="32"/>
        </w:rPr>
        <w:t>6</w:t>
      </w:r>
      <w:r>
        <w:rPr>
          <w:szCs w:val="32"/>
          <w:lang w:val="zh-CN"/>
        </w:rPr>
        <w:t xml:space="preserve"> 采购代理机构和资格审查小组不向</w:t>
      </w:r>
      <w:r>
        <w:rPr>
          <w:rFonts w:hint="eastAsia"/>
          <w:szCs w:val="32"/>
          <w:lang w:val="zh-CN"/>
        </w:rPr>
        <w:t>资格审查</w:t>
      </w:r>
      <w:r>
        <w:rPr>
          <w:szCs w:val="32"/>
        </w:rPr>
        <w:t>未</w:t>
      </w:r>
      <w:r>
        <w:rPr>
          <w:szCs w:val="32"/>
          <w:lang w:val="zh-CN"/>
        </w:rPr>
        <w:t>通过的投标人解释未成交原因，也不公布评审过程中的相关细节。</w:t>
      </w:r>
    </w:p>
    <w:p>
      <w:pPr>
        <w:shd w:val="clear" w:color="auto" w:fill="FFFFFF"/>
        <w:overflowPunct/>
        <w:adjustRightInd/>
        <w:snapToGrid/>
        <w:spacing w:line="560" w:lineRule="exact"/>
        <w:ind w:firstLine="643"/>
        <w:jc w:val="left"/>
        <w:rPr>
          <w:kern w:val="0"/>
          <w:szCs w:val="32"/>
        </w:rPr>
      </w:pPr>
      <w:r>
        <w:rPr>
          <w:b/>
          <w:szCs w:val="32"/>
          <w:lang w:val="zh-CN"/>
        </w:rPr>
        <w:t>1</w:t>
      </w:r>
      <w:r>
        <w:rPr>
          <w:b/>
          <w:szCs w:val="32"/>
        </w:rPr>
        <w:t>8</w:t>
      </w:r>
      <w:r>
        <w:rPr>
          <w:b/>
          <w:szCs w:val="32"/>
          <w:lang w:val="zh-CN"/>
        </w:rPr>
        <w:t>.</w:t>
      </w:r>
      <w:bookmarkStart w:id="37" w:name="_Hlk176530553"/>
      <w:r>
        <w:rPr>
          <w:b/>
          <w:bCs/>
          <w:kern w:val="0"/>
          <w:szCs w:val="32"/>
        </w:rPr>
        <w:t>评审过程中的澄清</w:t>
      </w:r>
      <w:bookmarkEnd w:id="37"/>
    </w:p>
    <w:p>
      <w:pPr>
        <w:shd w:val="clear" w:color="auto" w:fill="FFFFFF"/>
        <w:overflowPunct/>
        <w:adjustRightInd/>
        <w:snapToGrid/>
        <w:spacing w:line="560" w:lineRule="exact"/>
        <w:ind w:firstLine="640"/>
        <w:jc w:val="left"/>
        <w:rPr>
          <w:kern w:val="0"/>
          <w:szCs w:val="32"/>
        </w:rPr>
      </w:pPr>
      <w:r>
        <w:rPr>
          <w:kern w:val="0"/>
          <w:szCs w:val="32"/>
        </w:rPr>
        <w:t>18.1 项目评审期间，资格审查小组有权要求投标人对资格文件中含义不明确、同类问题表述不一致或者有明显文字和计算错误的内容等作出必要的澄清、说明或者补正。投标人的澄清、说明或者补正不得超出资格文件的范围或者改变资格文件的实质性内容。资格审查小组并非对每个投标人都</w:t>
      </w:r>
      <w:r>
        <w:rPr>
          <w:rFonts w:hint="eastAsia"/>
          <w:kern w:val="0"/>
          <w:szCs w:val="32"/>
        </w:rPr>
        <w:t>做</w:t>
      </w:r>
      <w:r>
        <w:rPr>
          <w:kern w:val="0"/>
          <w:szCs w:val="32"/>
        </w:rPr>
        <w:t>澄清要求。</w:t>
      </w:r>
    </w:p>
    <w:p>
      <w:pPr>
        <w:shd w:val="clear" w:color="auto" w:fill="FFFFFF"/>
        <w:overflowPunct/>
        <w:adjustRightInd/>
        <w:snapToGrid/>
        <w:spacing w:line="560" w:lineRule="exact"/>
        <w:ind w:firstLine="640"/>
        <w:jc w:val="left"/>
        <w:rPr>
          <w:kern w:val="0"/>
          <w:szCs w:val="32"/>
        </w:rPr>
      </w:pPr>
      <w:r>
        <w:rPr>
          <w:kern w:val="0"/>
          <w:szCs w:val="32"/>
        </w:rPr>
        <w:t>18.2 投标人的澄清、说明或者补正应当采用书面形式，并加盖公章，或者由法定代表人或其委托代理人签字。投标人的澄清、说明或者补正不得超出</w:t>
      </w:r>
      <w:r>
        <w:rPr>
          <w:rFonts w:hint="eastAsia"/>
          <w:kern w:val="0"/>
          <w:szCs w:val="32"/>
        </w:rPr>
        <w:t>资格审查</w:t>
      </w:r>
      <w:r>
        <w:rPr>
          <w:kern w:val="0"/>
          <w:szCs w:val="32"/>
        </w:rPr>
        <w:t>文件的范围或者改变资格文件的实质性内容。</w:t>
      </w:r>
    </w:p>
    <w:p>
      <w:pPr>
        <w:shd w:val="clear" w:color="auto" w:fill="FFFFFF"/>
        <w:overflowPunct/>
        <w:adjustRightInd/>
        <w:snapToGrid/>
        <w:spacing w:line="560" w:lineRule="exact"/>
        <w:ind w:firstLine="640"/>
        <w:jc w:val="left"/>
        <w:rPr>
          <w:kern w:val="0"/>
          <w:szCs w:val="32"/>
        </w:rPr>
      </w:pPr>
      <w:r>
        <w:rPr>
          <w:kern w:val="0"/>
          <w:szCs w:val="32"/>
        </w:rPr>
        <w:t>18.3 接到资格审查小组澄清、说明和补正要求的投标人如未按规定</w:t>
      </w:r>
      <w:r>
        <w:rPr>
          <w:rFonts w:hint="eastAsia"/>
          <w:kern w:val="0"/>
          <w:szCs w:val="32"/>
        </w:rPr>
        <w:t>作出</w:t>
      </w:r>
      <w:r>
        <w:rPr>
          <w:kern w:val="0"/>
          <w:szCs w:val="32"/>
        </w:rPr>
        <w:t>澄清、说明和补正，其风险由投标人自行承担。</w:t>
      </w:r>
    </w:p>
    <w:p>
      <w:pPr>
        <w:overflowPunct/>
        <w:autoSpaceDE w:val="0"/>
        <w:autoSpaceDN w:val="0"/>
        <w:adjustRightInd/>
        <w:snapToGrid/>
        <w:spacing w:line="560" w:lineRule="exact"/>
        <w:ind w:firstLine="643"/>
        <w:rPr>
          <w:b/>
          <w:szCs w:val="32"/>
        </w:rPr>
      </w:pPr>
      <w:r>
        <w:rPr>
          <w:b/>
          <w:szCs w:val="32"/>
          <w:lang w:val="zh-CN"/>
        </w:rPr>
        <w:t>1</w:t>
      </w:r>
      <w:r>
        <w:rPr>
          <w:b/>
          <w:szCs w:val="32"/>
        </w:rPr>
        <w:t>9</w:t>
      </w:r>
      <w:r>
        <w:rPr>
          <w:b/>
          <w:szCs w:val="32"/>
          <w:lang w:val="zh-CN"/>
        </w:rPr>
        <w:t>.</w:t>
      </w:r>
      <w:r>
        <w:rPr>
          <w:b/>
          <w:szCs w:val="32"/>
        </w:rPr>
        <w:t xml:space="preserve"> </w:t>
      </w:r>
      <w:r>
        <w:rPr>
          <w:b/>
          <w:szCs w:val="32"/>
          <w:lang w:val="zh-CN"/>
        </w:rPr>
        <w:t>资格文件的资格审查</w:t>
      </w:r>
    </w:p>
    <w:p>
      <w:pPr>
        <w:overflowPunct/>
        <w:adjustRightInd/>
        <w:snapToGrid/>
        <w:spacing w:line="560" w:lineRule="exact"/>
        <w:ind w:firstLine="640"/>
        <w:rPr>
          <w:szCs w:val="32"/>
        </w:rPr>
      </w:pPr>
      <w:bookmarkStart w:id="38" w:name="OLE_LINK40"/>
      <w:r>
        <w:rPr>
          <w:szCs w:val="32"/>
        </w:rPr>
        <w:t>1</w:t>
      </w:r>
      <w:bookmarkEnd w:id="38"/>
      <w:r>
        <w:rPr>
          <w:szCs w:val="32"/>
        </w:rPr>
        <w:t>9.1资格文件审查分为资格审查和符合性审查。</w:t>
      </w:r>
    </w:p>
    <w:p>
      <w:pPr>
        <w:overflowPunct/>
        <w:adjustRightInd/>
        <w:snapToGrid/>
        <w:spacing w:line="560" w:lineRule="exact"/>
        <w:ind w:firstLine="640"/>
        <w:rPr>
          <w:szCs w:val="32"/>
        </w:rPr>
      </w:pPr>
      <w:r>
        <w:rPr>
          <w:szCs w:val="32"/>
        </w:rPr>
        <w:t>19.2资格审查：依据法律法规和</w:t>
      </w:r>
      <w:r>
        <w:rPr>
          <w:rFonts w:hint="eastAsia"/>
          <w:szCs w:val="32"/>
        </w:rPr>
        <w:t>资格审查</w:t>
      </w:r>
      <w:r>
        <w:rPr>
          <w:szCs w:val="32"/>
        </w:rPr>
        <w:t>文件的规定，资格审查小组对资格文件中的资格证明文件进行审查，以确定投标人是否具备参加评审的资格。</w:t>
      </w:r>
    </w:p>
    <w:p>
      <w:pPr>
        <w:overflowPunct/>
        <w:adjustRightInd/>
        <w:snapToGrid/>
        <w:spacing w:line="560" w:lineRule="exact"/>
        <w:ind w:firstLine="643"/>
        <w:rPr>
          <w:b/>
          <w:bCs/>
          <w:szCs w:val="32"/>
        </w:rPr>
      </w:pPr>
      <w:r>
        <w:rPr>
          <w:b/>
          <w:bCs/>
          <w:szCs w:val="32"/>
        </w:rPr>
        <w:t>19.2.1资格文件有下列情况之一的，</w:t>
      </w:r>
      <w:bookmarkStart w:id="39" w:name="OLE_LINK28"/>
      <w:r>
        <w:rPr>
          <w:b/>
          <w:bCs/>
          <w:szCs w:val="32"/>
        </w:rPr>
        <w:t>在资格审查时</w:t>
      </w:r>
      <w:bookmarkEnd w:id="39"/>
      <w:r>
        <w:rPr>
          <w:b/>
          <w:bCs/>
          <w:szCs w:val="32"/>
        </w:rPr>
        <w:t>按照无效投标处理：</w:t>
      </w:r>
    </w:p>
    <w:p>
      <w:pPr>
        <w:numPr>
          <w:ilvl w:val="0"/>
          <w:numId w:val="1"/>
        </w:numPr>
        <w:tabs>
          <w:tab w:val="left" w:pos="4825"/>
        </w:tabs>
        <w:overflowPunct/>
        <w:adjustRightInd/>
        <w:snapToGrid/>
        <w:spacing w:line="560" w:lineRule="exact"/>
        <w:ind w:firstLine="640"/>
        <w:jc w:val="left"/>
        <w:rPr>
          <w:szCs w:val="32"/>
        </w:rPr>
      </w:pPr>
      <w:bookmarkStart w:id="40" w:name="_Hlk81314966"/>
      <w:r>
        <w:rPr>
          <w:rFonts w:hint="eastAsia"/>
          <w:szCs w:val="32"/>
        </w:rPr>
        <w:t>资格审查</w:t>
      </w:r>
      <w:r>
        <w:rPr>
          <w:szCs w:val="32"/>
        </w:rPr>
        <w:t>未通过的；</w:t>
      </w:r>
    </w:p>
    <w:p>
      <w:pPr>
        <w:numPr>
          <w:ilvl w:val="0"/>
          <w:numId w:val="1"/>
        </w:numPr>
        <w:tabs>
          <w:tab w:val="left" w:pos="4825"/>
        </w:tabs>
        <w:overflowPunct/>
        <w:adjustRightInd/>
        <w:snapToGrid/>
        <w:spacing w:line="560" w:lineRule="exact"/>
        <w:ind w:firstLine="640"/>
        <w:jc w:val="left"/>
        <w:rPr>
          <w:szCs w:val="32"/>
        </w:rPr>
      </w:pPr>
      <w:r>
        <w:rPr>
          <w:szCs w:val="32"/>
        </w:rPr>
        <w:t>不具备</w:t>
      </w:r>
      <w:r>
        <w:rPr>
          <w:rFonts w:hint="eastAsia"/>
          <w:szCs w:val="32"/>
        </w:rPr>
        <w:t>资格审查</w:t>
      </w:r>
      <w:r>
        <w:rPr>
          <w:szCs w:val="32"/>
        </w:rPr>
        <w:t>文件中规定资格条件的；</w:t>
      </w:r>
    </w:p>
    <w:bookmarkEnd w:id="40"/>
    <w:p>
      <w:pPr>
        <w:overflowPunct/>
        <w:adjustRightInd/>
        <w:snapToGrid/>
        <w:spacing w:line="560" w:lineRule="exact"/>
        <w:ind w:firstLine="643"/>
        <w:rPr>
          <w:b/>
          <w:bCs/>
          <w:szCs w:val="32"/>
        </w:rPr>
      </w:pPr>
      <w:r>
        <w:rPr>
          <w:b/>
          <w:bCs/>
          <w:szCs w:val="32"/>
        </w:rPr>
        <w:t>19.3 资格文件的符合性检查</w:t>
      </w:r>
    </w:p>
    <w:p>
      <w:pPr>
        <w:overflowPunct/>
        <w:adjustRightInd/>
        <w:snapToGrid/>
        <w:spacing w:line="560" w:lineRule="exact"/>
        <w:ind w:firstLine="640"/>
        <w:rPr>
          <w:szCs w:val="32"/>
        </w:rPr>
      </w:pPr>
      <w:r>
        <w:rPr>
          <w:szCs w:val="32"/>
        </w:rPr>
        <w:t>19.3.1资格审查小组将依据法律法规和</w:t>
      </w:r>
      <w:r>
        <w:rPr>
          <w:rFonts w:hint="eastAsia"/>
          <w:kern w:val="0"/>
          <w:szCs w:val="32"/>
        </w:rPr>
        <w:t>资格审查</w:t>
      </w:r>
      <w:r>
        <w:rPr>
          <w:kern w:val="0"/>
          <w:szCs w:val="32"/>
        </w:rPr>
        <w:t>文件</w:t>
      </w:r>
      <w:r>
        <w:rPr>
          <w:szCs w:val="32"/>
        </w:rPr>
        <w:t>的规定，对资格文件的有效性、完整性和对</w:t>
      </w:r>
      <w:r>
        <w:rPr>
          <w:rFonts w:hint="eastAsia"/>
          <w:kern w:val="0"/>
          <w:szCs w:val="32"/>
        </w:rPr>
        <w:t>资格审查</w:t>
      </w:r>
      <w:r>
        <w:rPr>
          <w:kern w:val="0"/>
          <w:szCs w:val="32"/>
        </w:rPr>
        <w:t>文件</w:t>
      </w:r>
      <w:r>
        <w:rPr>
          <w:szCs w:val="32"/>
        </w:rPr>
        <w:t>的响应程度进行审查，以确定是否对</w:t>
      </w:r>
      <w:r>
        <w:rPr>
          <w:rFonts w:hint="eastAsia"/>
          <w:kern w:val="0"/>
          <w:szCs w:val="32"/>
        </w:rPr>
        <w:t>资格审查</w:t>
      </w:r>
      <w:r>
        <w:rPr>
          <w:kern w:val="0"/>
          <w:szCs w:val="32"/>
        </w:rPr>
        <w:t>文件</w:t>
      </w:r>
      <w:r>
        <w:rPr>
          <w:szCs w:val="32"/>
        </w:rPr>
        <w:t>的实质性要求作出响应。</w:t>
      </w:r>
    </w:p>
    <w:p>
      <w:pPr>
        <w:overflowPunct/>
        <w:adjustRightInd/>
        <w:snapToGrid/>
        <w:spacing w:line="560" w:lineRule="exact"/>
        <w:ind w:firstLine="643"/>
        <w:rPr>
          <w:szCs w:val="32"/>
        </w:rPr>
      </w:pPr>
      <w:r>
        <w:rPr>
          <w:b/>
          <w:bCs/>
          <w:szCs w:val="32"/>
        </w:rPr>
        <w:t>19.3.2实质性要求是指本招标文件中用带星号（“*”）、（“★”）、“必须”或“应（应当）”等其他文字说明的商务和技术要求。</w:t>
      </w:r>
    </w:p>
    <w:p>
      <w:pPr>
        <w:overflowPunct/>
        <w:adjustRightInd/>
        <w:snapToGrid/>
        <w:spacing w:line="560" w:lineRule="exact"/>
        <w:ind w:firstLine="640"/>
        <w:rPr>
          <w:szCs w:val="32"/>
        </w:rPr>
      </w:pPr>
      <w:r>
        <w:rPr>
          <w:szCs w:val="32"/>
        </w:rPr>
        <w:t>19.3.3如果资格文件实质上没有响应</w:t>
      </w:r>
      <w:r>
        <w:rPr>
          <w:rFonts w:hint="eastAsia"/>
          <w:kern w:val="0"/>
          <w:szCs w:val="32"/>
        </w:rPr>
        <w:t>资格审查</w:t>
      </w:r>
      <w:r>
        <w:rPr>
          <w:kern w:val="0"/>
          <w:szCs w:val="32"/>
        </w:rPr>
        <w:t>文件</w:t>
      </w:r>
      <w:r>
        <w:rPr>
          <w:szCs w:val="32"/>
        </w:rPr>
        <w:t>的要求，资格审查小组将予以拒绝，投标人不得通过修改或撤销</w:t>
      </w:r>
      <w:r>
        <w:rPr>
          <w:rFonts w:hint="eastAsia"/>
          <w:szCs w:val="32"/>
        </w:rPr>
        <w:t>不符</w:t>
      </w:r>
      <w:r>
        <w:rPr>
          <w:szCs w:val="32"/>
        </w:rPr>
        <w:t>合要求的偏离或保留而使其投标成为实质性响应的投标。</w:t>
      </w:r>
    </w:p>
    <w:p>
      <w:pPr>
        <w:overflowPunct/>
        <w:adjustRightInd/>
        <w:snapToGrid/>
        <w:spacing w:line="560" w:lineRule="exact"/>
        <w:ind w:firstLine="643"/>
        <w:rPr>
          <w:b/>
          <w:bCs/>
          <w:szCs w:val="32"/>
        </w:rPr>
      </w:pPr>
      <w:r>
        <w:rPr>
          <w:b/>
          <w:bCs/>
          <w:szCs w:val="32"/>
        </w:rPr>
        <w:t>19.3.4资格文件</w:t>
      </w:r>
      <w:r>
        <w:rPr>
          <w:rFonts w:hint="eastAsia"/>
          <w:b/>
          <w:bCs/>
          <w:szCs w:val="32"/>
        </w:rPr>
        <w:t>属于</w:t>
      </w:r>
      <w:r>
        <w:rPr>
          <w:b/>
          <w:bCs/>
          <w:szCs w:val="32"/>
        </w:rPr>
        <w:t>下列情形之一的，在符合性审查时按照无效投标处理：</w:t>
      </w:r>
    </w:p>
    <w:p>
      <w:pPr>
        <w:numPr>
          <w:ilvl w:val="0"/>
          <w:numId w:val="2"/>
        </w:numPr>
        <w:overflowPunct/>
        <w:adjustRightInd/>
        <w:snapToGrid/>
        <w:spacing w:line="560" w:lineRule="exact"/>
        <w:ind w:firstLine="640"/>
        <w:rPr>
          <w:szCs w:val="32"/>
        </w:rPr>
      </w:pPr>
      <w:r>
        <w:rPr>
          <w:szCs w:val="32"/>
        </w:rPr>
        <w:t>没有按照采购要求密封、签署、盖章的；</w:t>
      </w:r>
    </w:p>
    <w:p>
      <w:pPr>
        <w:overflowPunct/>
        <w:adjustRightInd/>
        <w:snapToGrid/>
        <w:spacing w:line="560" w:lineRule="exact"/>
        <w:ind w:firstLine="640"/>
        <w:rPr>
          <w:szCs w:val="32"/>
        </w:rPr>
      </w:pPr>
      <w:bookmarkStart w:id="41" w:name="OLE_LINK9"/>
      <w:r>
        <w:rPr>
          <w:szCs w:val="32"/>
        </w:rPr>
        <w:t>（2）不具备</w:t>
      </w:r>
      <w:r>
        <w:rPr>
          <w:rFonts w:hint="eastAsia"/>
          <w:szCs w:val="32"/>
        </w:rPr>
        <w:t>资格审查</w:t>
      </w:r>
      <w:r>
        <w:rPr>
          <w:szCs w:val="32"/>
        </w:rPr>
        <w:t>文件中规定资格要求的；</w:t>
      </w:r>
      <w:bookmarkEnd w:id="41"/>
    </w:p>
    <w:p>
      <w:pPr>
        <w:overflowPunct/>
        <w:adjustRightInd/>
        <w:snapToGrid/>
        <w:spacing w:line="560" w:lineRule="exact"/>
        <w:ind w:firstLine="640"/>
        <w:rPr>
          <w:szCs w:val="32"/>
        </w:rPr>
      </w:pPr>
      <w:r>
        <w:rPr>
          <w:szCs w:val="32"/>
        </w:rPr>
        <w:t>（3）不具备</w:t>
      </w:r>
      <w:r>
        <w:rPr>
          <w:rFonts w:hint="eastAsia"/>
          <w:kern w:val="0"/>
          <w:szCs w:val="32"/>
        </w:rPr>
        <w:t>资格审查</w:t>
      </w:r>
      <w:r>
        <w:rPr>
          <w:kern w:val="0"/>
          <w:szCs w:val="32"/>
        </w:rPr>
        <w:t>文件</w:t>
      </w:r>
      <w:r>
        <w:rPr>
          <w:szCs w:val="32"/>
        </w:rPr>
        <w:t>中规定实质性要求的；</w:t>
      </w:r>
    </w:p>
    <w:p>
      <w:pPr>
        <w:overflowPunct/>
        <w:adjustRightInd/>
        <w:snapToGrid/>
        <w:spacing w:line="560" w:lineRule="exact"/>
        <w:ind w:firstLine="640"/>
        <w:rPr>
          <w:szCs w:val="32"/>
        </w:rPr>
      </w:pPr>
      <w:r>
        <w:rPr>
          <w:szCs w:val="32"/>
        </w:rPr>
        <w:t>（4）不同投标人的资格文件由同一单位或者个人编制；</w:t>
      </w:r>
    </w:p>
    <w:p>
      <w:pPr>
        <w:overflowPunct/>
        <w:adjustRightInd/>
        <w:snapToGrid/>
        <w:spacing w:line="560" w:lineRule="exact"/>
        <w:ind w:firstLine="640"/>
        <w:rPr>
          <w:szCs w:val="32"/>
        </w:rPr>
      </w:pPr>
      <w:r>
        <w:rPr>
          <w:szCs w:val="32"/>
        </w:rPr>
        <w:t>（5）不同投标人委托同一单位或者个人办理投标事宜；</w:t>
      </w:r>
    </w:p>
    <w:p>
      <w:pPr>
        <w:overflowPunct/>
        <w:adjustRightInd/>
        <w:snapToGrid/>
        <w:spacing w:line="560" w:lineRule="exact"/>
        <w:ind w:firstLine="640"/>
        <w:rPr>
          <w:szCs w:val="32"/>
        </w:rPr>
      </w:pPr>
      <w:r>
        <w:rPr>
          <w:szCs w:val="32"/>
        </w:rPr>
        <w:t>（6）</w:t>
      </w:r>
      <w:bookmarkStart w:id="42" w:name="OLE_LINK7"/>
      <w:r>
        <w:rPr>
          <w:szCs w:val="32"/>
        </w:rPr>
        <w:t>不同投标人的资格文件载明的项目管理成员或者联系人员为同一人</w:t>
      </w:r>
      <w:bookmarkEnd w:id="42"/>
      <w:r>
        <w:rPr>
          <w:szCs w:val="32"/>
        </w:rPr>
        <w:t>；</w:t>
      </w:r>
    </w:p>
    <w:p>
      <w:pPr>
        <w:overflowPunct/>
        <w:adjustRightInd/>
        <w:snapToGrid/>
        <w:spacing w:line="560" w:lineRule="exact"/>
        <w:ind w:firstLine="640"/>
        <w:rPr>
          <w:szCs w:val="32"/>
        </w:rPr>
      </w:pPr>
      <w:r>
        <w:rPr>
          <w:szCs w:val="32"/>
        </w:rPr>
        <w:t>（7）不同投标人的资格文件异常一致；</w:t>
      </w:r>
    </w:p>
    <w:p>
      <w:pPr>
        <w:overflowPunct/>
        <w:adjustRightInd/>
        <w:snapToGrid/>
        <w:spacing w:line="560" w:lineRule="exact"/>
        <w:ind w:firstLine="640"/>
        <w:rPr>
          <w:szCs w:val="32"/>
        </w:rPr>
      </w:pPr>
      <w:r>
        <w:rPr>
          <w:szCs w:val="32"/>
        </w:rPr>
        <w:t>（8）不同投标人的资格文件相互混装；</w:t>
      </w:r>
    </w:p>
    <w:p>
      <w:pPr>
        <w:overflowPunct/>
        <w:adjustRightInd/>
        <w:snapToGrid/>
        <w:spacing w:line="560" w:lineRule="exact"/>
        <w:ind w:firstLine="640"/>
        <w:rPr>
          <w:szCs w:val="32"/>
        </w:rPr>
      </w:pPr>
      <w:r>
        <w:rPr>
          <w:szCs w:val="32"/>
        </w:rPr>
        <w:t>（9）不同投标人的负责人为同一人或者存在控股、管理关系的；</w:t>
      </w:r>
    </w:p>
    <w:p>
      <w:pPr>
        <w:overflowPunct/>
        <w:adjustRightInd/>
        <w:snapToGrid/>
        <w:spacing w:line="560" w:lineRule="exact"/>
        <w:ind w:firstLine="640"/>
        <w:rPr>
          <w:szCs w:val="32"/>
        </w:rPr>
      </w:pPr>
      <w:r>
        <w:rPr>
          <w:szCs w:val="32"/>
        </w:rPr>
        <w:t>（10）资格文件含有采购人不能接受的附加条件的；</w:t>
      </w:r>
    </w:p>
    <w:p>
      <w:pPr>
        <w:overflowPunct/>
        <w:adjustRightInd/>
        <w:snapToGrid/>
        <w:spacing w:line="560" w:lineRule="exact"/>
        <w:ind w:firstLine="640"/>
        <w:rPr>
          <w:szCs w:val="32"/>
        </w:rPr>
      </w:pPr>
      <w:r>
        <w:rPr>
          <w:szCs w:val="32"/>
        </w:rPr>
        <w:t>（11）不符合</w:t>
      </w:r>
      <w:r>
        <w:rPr>
          <w:rFonts w:hint="eastAsia"/>
          <w:szCs w:val="32"/>
        </w:rPr>
        <w:t>法律法规</w:t>
      </w:r>
      <w:r>
        <w:rPr>
          <w:szCs w:val="32"/>
        </w:rPr>
        <w:t>和</w:t>
      </w:r>
      <w:r>
        <w:rPr>
          <w:rFonts w:hint="eastAsia"/>
          <w:kern w:val="0"/>
          <w:szCs w:val="32"/>
        </w:rPr>
        <w:t>资格审查</w:t>
      </w:r>
      <w:r>
        <w:rPr>
          <w:kern w:val="0"/>
          <w:szCs w:val="32"/>
        </w:rPr>
        <w:t>文件</w:t>
      </w:r>
      <w:r>
        <w:rPr>
          <w:szCs w:val="32"/>
        </w:rPr>
        <w:t>规定的其他实质性要求的</w:t>
      </w:r>
      <w:r>
        <w:rPr>
          <w:szCs w:val="32"/>
          <w:lang w:val="zh-CN"/>
        </w:rPr>
        <w:t>。</w:t>
      </w:r>
    </w:p>
    <w:p>
      <w:pPr>
        <w:overflowPunct/>
        <w:adjustRightInd/>
        <w:snapToGrid/>
        <w:spacing w:line="560" w:lineRule="exact"/>
        <w:ind w:firstLine="643"/>
        <w:rPr>
          <w:b/>
          <w:bCs/>
          <w:szCs w:val="32"/>
        </w:rPr>
      </w:pPr>
      <w:r>
        <w:rPr>
          <w:b/>
          <w:bCs/>
          <w:szCs w:val="32"/>
        </w:rPr>
        <w:t>19.4</w:t>
      </w:r>
      <w:r>
        <w:rPr>
          <w:b/>
          <w:bCs/>
          <w:szCs w:val="32"/>
          <w:lang w:val="zh-CN"/>
        </w:rPr>
        <w:t>采购活动终止情形</w:t>
      </w:r>
      <w:r>
        <w:rPr>
          <w:b/>
          <w:bCs/>
          <w:szCs w:val="32"/>
        </w:rPr>
        <w:t>：</w:t>
      </w:r>
    </w:p>
    <w:p>
      <w:pPr>
        <w:overflowPunct/>
        <w:autoSpaceDE w:val="0"/>
        <w:autoSpaceDN w:val="0"/>
        <w:adjustRightInd/>
        <w:snapToGrid/>
        <w:spacing w:line="560" w:lineRule="exact"/>
        <w:ind w:firstLine="640"/>
        <w:rPr>
          <w:szCs w:val="32"/>
          <w:lang w:val="zh-CN"/>
        </w:rPr>
      </w:pPr>
      <w:r>
        <w:rPr>
          <w:szCs w:val="32"/>
          <w:lang w:val="zh-CN"/>
        </w:rPr>
        <w:t>（1）因情况变化，不再符合规定的采购方式适用情形的；</w:t>
      </w:r>
    </w:p>
    <w:p>
      <w:pPr>
        <w:overflowPunct/>
        <w:autoSpaceDE w:val="0"/>
        <w:autoSpaceDN w:val="0"/>
        <w:adjustRightInd/>
        <w:snapToGrid/>
        <w:spacing w:line="560" w:lineRule="exact"/>
        <w:ind w:firstLine="640"/>
        <w:rPr>
          <w:szCs w:val="32"/>
          <w:lang w:val="zh-CN"/>
        </w:rPr>
      </w:pPr>
      <w:bookmarkStart w:id="43" w:name="OLE_LINK10"/>
      <w:r>
        <w:rPr>
          <w:szCs w:val="32"/>
          <w:lang w:val="zh-CN"/>
        </w:rPr>
        <w:t>（2）</w:t>
      </w:r>
      <w:bookmarkEnd w:id="43"/>
      <w:r>
        <w:rPr>
          <w:szCs w:val="32"/>
          <w:lang w:val="zh-CN"/>
        </w:rPr>
        <w:t>出现影响采购公正的违法、违规行为的；</w:t>
      </w:r>
    </w:p>
    <w:p>
      <w:pPr>
        <w:overflowPunct/>
        <w:autoSpaceDE w:val="0"/>
        <w:autoSpaceDN w:val="0"/>
        <w:adjustRightInd/>
        <w:snapToGrid/>
        <w:spacing w:line="560" w:lineRule="exact"/>
        <w:ind w:firstLine="640"/>
        <w:rPr>
          <w:szCs w:val="32"/>
          <w:lang w:val="zh-CN"/>
        </w:rPr>
      </w:pPr>
      <w:bookmarkStart w:id="44" w:name="OLE_LINK12"/>
      <w:r>
        <w:rPr>
          <w:szCs w:val="32"/>
          <w:lang w:val="zh-CN"/>
        </w:rPr>
        <w:t>（3）</w:t>
      </w:r>
      <w:bookmarkEnd w:id="44"/>
      <w:r>
        <w:rPr>
          <w:szCs w:val="32"/>
          <w:lang w:val="zh-CN"/>
        </w:rPr>
        <w:t>因重大变故，采购任务取消；</w:t>
      </w:r>
    </w:p>
    <w:p>
      <w:pPr>
        <w:overflowPunct/>
        <w:autoSpaceDE w:val="0"/>
        <w:autoSpaceDN w:val="0"/>
        <w:adjustRightInd/>
        <w:snapToGrid/>
        <w:spacing w:line="560" w:lineRule="exact"/>
        <w:ind w:firstLine="640"/>
        <w:rPr>
          <w:szCs w:val="32"/>
          <w:lang w:val="zh-CN"/>
        </w:rPr>
      </w:pPr>
      <w:r>
        <w:rPr>
          <w:szCs w:val="32"/>
          <w:lang w:val="zh-CN"/>
        </w:rPr>
        <w:t>（4）资格审查小组认定</w:t>
      </w:r>
      <w:r>
        <w:rPr>
          <w:rFonts w:hint="eastAsia"/>
          <w:szCs w:val="32"/>
          <w:lang w:val="zh-CN"/>
        </w:rPr>
        <w:t>资格审查</w:t>
      </w:r>
      <w:r>
        <w:rPr>
          <w:szCs w:val="32"/>
          <w:lang w:val="zh-CN"/>
        </w:rPr>
        <w:t>文件存在歧义、重大缺陷导致评审工作无法进行；</w:t>
      </w:r>
    </w:p>
    <w:p>
      <w:pPr>
        <w:overflowPunct/>
        <w:autoSpaceDE w:val="0"/>
        <w:autoSpaceDN w:val="0"/>
        <w:adjustRightInd/>
        <w:snapToGrid/>
        <w:spacing w:line="560" w:lineRule="exact"/>
        <w:ind w:firstLine="640"/>
        <w:rPr>
          <w:szCs w:val="32"/>
          <w:lang w:val="zh-CN"/>
        </w:rPr>
      </w:pPr>
      <w:r>
        <w:rPr>
          <w:szCs w:val="32"/>
          <w:lang w:val="zh-CN"/>
        </w:rPr>
        <w:t>（</w:t>
      </w:r>
      <w:r>
        <w:rPr>
          <w:szCs w:val="32"/>
        </w:rPr>
        <w:t>5</w:t>
      </w:r>
      <w:r>
        <w:rPr>
          <w:szCs w:val="32"/>
          <w:lang w:val="zh-CN"/>
        </w:rPr>
        <w:t>）提交资格文件和通过资格审查、符合性审查的投标人数量或者对</w:t>
      </w:r>
      <w:r>
        <w:rPr>
          <w:rFonts w:hint="eastAsia"/>
          <w:szCs w:val="32"/>
        </w:rPr>
        <w:t>资格审查</w:t>
      </w:r>
      <w:r>
        <w:rPr>
          <w:szCs w:val="32"/>
          <w:lang w:val="zh-CN"/>
        </w:rPr>
        <w:t>文件作实质性响应的投标人不足三家的；</w:t>
      </w:r>
    </w:p>
    <w:p>
      <w:pPr>
        <w:overflowPunct/>
        <w:autoSpaceDE w:val="0"/>
        <w:autoSpaceDN w:val="0"/>
        <w:adjustRightInd/>
        <w:snapToGrid/>
        <w:spacing w:line="560" w:lineRule="exact"/>
        <w:ind w:firstLine="640"/>
        <w:rPr>
          <w:szCs w:val="32"/>
          <w:lang w:val="zh-CN"/>
        </w:rPr>
      </w:pPr>
      <w:r>
        <w:rPr>
          <w:szCs w:val="32"/>
          <w:lang w:val="zh-CN"/>
        </w:rPr>
        <w:t>（</w:t>
      </w:r>
      <w:r>
        <w:rPr>
          <w:szCs w:val="32"/>
        </w:rPr>
        <w:t>6</w:t>
      </w:r>
      <w:r>
        <w:rPr>
          <w:szCs w:val="32"/>
          <w:lang w:val="zh-CN"/>
        </w:rPr>
        <w:t>）法律法规规定的其他应当终止情形。</w:t>
      </w:r>
    </w:p>
    <w:p>
      <w:pPr>
        <w:overflowPunct/>
        <w:adjustRightInd/>
        <w:snapToGrid/>
        <w:spacing w:line="560" w:lineRule="exact"/>
        <w:ind w:firstLine="640"/>
        <w:rPr>
          <w:bCs/>
          <w:szCs w:val="32"/>
          <w:lang w:val="zh-CN"/>
        </w:rPr>
      </w:pPr>
      <w:bookmarkStart w:id="45" w:name="OLE_LINK39"/>
      <w:r>
        <w:rPr>
          <w:szCs w:val="32"/>
        </w:rPr>
        <w:t>1</w:t>
      </w:r>
      <w:bookmarkEnd w:id="45"/>
      <w:r>
        <w:rPr>
          <w:szCs w:val="32"/>
        </w:rPr>
        <w:t>9</w:t>
      </w:r>
      <w:r>
        <w:rPr>
          <w:bCs/>
          <w:szCs w:val="32"/>
          <w:lang w:val="zh-CN"/>
        </w:rPr>
        <w:t>.5 未通过资格审查或符合性审查的投标人，资格审查小组将告知具体原因，评审结束后将不再接受有关询问。</w:t>
      </w:r>
    </w:p>
    <w:p>
      <w:pPr>
        <w:overflowPunct/>
        <w:adjustRightInd/>
        <w:snapToGrid/>
        <w:spacing w:line="560" w:lineRule="exact"/>
        <w:ind w:firstLine="640"/>
        <w:rPr>
          <w:b/>
          <w:kern w:val="0"/>
          <w:szCs w:val="32"/>
        </w:rPr>
      </w:pPr>
      <w:r>
        <w:rPr>
          <w:szCs w:val="32"/>
        </w:rPr>
        <w:t>19</w:t>
      </w:r>
      <w:r>
        <w:rPr>
          <w:bCs/>
          <w:szCs w:val="32"/>
          <w:lang w:val="zh-CN"/>
        </w:rPr>
        <w:t>.6投标人在项目评审全过程中应</w:t>
      </w:r>
      <w:r>
        <w:rPr>
          <w:rFonts w:hint="eastAsia"/>
          <w:bCs/>
          <w:szCs w:val="32"/>
          <w:lang w:val="zh-CN"/>
        </w:rPr>
        <w:t>保持通信畅通</w:t>
      </w:r>
      <w:r>
        <w:rPr>
          <w:bCs/>
          <w:szCs w:val="32"/>
          <w:lang w:val="zh-CN"/>
        </w:rPr>
        <w:t>，及时答复相关信息，并安排专人与采购代理机构及资格审查小组联系。</w:t>
      </w:r>
      <w:bookmarkStart w:id="46" w:name="_Hlk77847492"/>
      <w:bookmarkStart w:id="47" w:name="_Hlk80023568"/>
      <w:bookmarkStart w:id="48" w:name="_Hlk77847403"/>
    </w:p>
    <w:p>
      <w:pPr>
        <w:overflowPunct/>
        <w:autoSpaceDE w:val="0"/>
        <w:autoSpaceDN w:val="0"/>
        <w:adjustRightInd/>
        <w:snapToGrid/>
        <w:spacing w:line="560" w:lineRule="exact"/>
        <w:ind w:firstLine="643"/>
        <w:rPr>
          <w:b/>
          <w:bCs/>
          <w:kern w:val="0"/>
          <w:szCs w:val="32"/>
        </w:rPr>
      </w:pPr>
      <w:r>
        <w:rPr>
          <w:b/>
          <w:bCs/>
          <w:kern w:val="0"/>
          <w:szCs w:val="32"/>
        </w:rPr>
        <w:t>20.确定</w:t>
      </w:r>
      <w:r>
        <w:rPr>
          <w:rFonts w:hint="eastAsia"/>
          <w:b/>
          <w:bCs/>
          <w:kern w:val="0"/>
          <w:szCs w:val="32"/>
        </w:rPr>
        <w:t>资格审查</w:t>
      </w:r>
      <w:r>
        <w:rPr>
          <w:b/>
          <w:bCs/>
          <w:kern w:val="0"/>
          <w:szCs w:val="32"/>
        </w:rPr>
        <w:t>通过的投标人</w:t>
      </w:r>
    </w:p>
    <w:p>
      <w:pPr>
        <w:overflowPunct/>
        <w:autoSpaceDE w:val="0"/>
        <w:autoSpaceDN w:val="0"/>
        <w:adjustRightInd/>
        <w:snapToGrid/>
        <w:spacing w:line="560" w:lineRule="exact"/>
        <w:ind w:firstLine="640"/>
        <w:rPr>
          <w:kern w:val="0"/>
          <w:szCs w:val="32"/>
          <w:lang w:val="zh-CN"/>
        </w:rPr>
      </w:pPr>
      <w:r>
        <w:rPr>
          <w:kern w:val="0"/>
          <w:szCs w:val="32"/>
        </w:rPr>
        <w:t>20</w:t>
      </w:r>
      <w:r>
        <w:rPr>
          <w:kern w:val="0"/>
          <w:szCs w:val="32"/>
          <w:lang w:val="zh-CN"/>
        </w:rPr>
        <w:t xml:space="preserve">.1 </w:t>
      </w:r>
      <w:r>
        <w:rPr>
          <w:rFonts w:hint="eastAsia"/>
          <w:kern w:val="0"/>
          <w:szCs w:val="32"/>
          <w:lang w:val="zh-CN"/>
        </w:rPr>
        <w:t>资格审查</w:t>
      </w:r>
      <w:r>
        <w:rPr>
          <w:kern w:val="0"/>
          <w:szCs w:val="32"/>
          <w:lang w:val="zh-CN"/>
        </w:rPr>
        <w:t>通过的投标人的确定原则和数量见</w:t>
      </w:r>
      <w:r>
        <w:rPr>
          <w:rFonts w:hint="eastAsia"/>
          <w:kern w:val="0"/>
          <w:szCs w:val="32"/>
          <w:lang w:val="zh-CN"/>
        </w:rPr>
        <w:t>资格审查</w:t>
      </w:r>
      <w:r>
        <w:rPr>
          <w:kern w:val="0"/>
          <w:szCs w:val="32"/>
          <w:lang w:val="zh-CN"/>
        </w:rPr>
        <w:t>文件第</w:t>
      </w:r>
      <w:r>
        <w:rPr>
          <w:kern w:val="0"/>
          <w:szCs w:val="32"/>
        </w:rPr>
        <w:t>三</w:t>
      </w:r>
      <w:r>
        <w:rPr>
          <w:kern w:val="0"/>
          <w:szCs w:val="32"/>
          <w:lang w:val="zh-CN"/>
        </w:rPr>
        <w:t xml:space="preserve">章。 </w:t>
      </w:r>
    </w:p>
    <w:p>
      <w:pPr>
        <w:overflowPunct/>
        <w:autoSpaceDE w:val="0"/>
        <w:autoSpaceDN w:val="0"/>
        <w:adjustRightInd/>
        <w:snapToGrid/>
        <w:spacing w:line="560" w:lineRule="exact"/>
        <w:ind w:firstLine="640"/>
        <w:rPr>
          <w:kern w:val="0"/>
          <w:szCs w:val="32"/>
          <w:u w:val="wave"/>
          <w:lang w:val="zh-CN"/>
        </w:rPr>
      </w:pPr>
      <w:r>
        <w:rPr>
          <w:kern w:val="0"/>
          <w:szCs w:val="32"/>
          <w:u w:val="wave"/>
        </w:rPr>
        <w:t>20</w:t>
      </w:r>
      <w:r>
        <w:rPr>
          <w:kern w:val="0"/>
          <w:szCs w:val="32"/>
          <w:u w:val="wave"/>
          <w:lang w:val="zh-CN"/>
        </w:rPr>
        <w:t>.2 采购人将在“江苏省学校阳光食堂”网站发布</w:t>
      </w:r>
      <w:r>
        <w:rPr>
          <w:rFonts w:hint="eastAsia"/>
          <w:kern w:val="0"/>
          <w:szCs w:val="32"/>
          <w:u w:val="wave"/>
        </w:rPr>
        <w:t>资格审查</w:t>
      </w:r>
      <w:r>
        <w:rPr>
          <w:kern w:val="0"/>
          <w:szCs w:val="32"/>
          <w:u w:val="wave"/>
          <w:lang w:val="zh-CN"/>
        </w:rPr>
        <w:t>结果公告，公告期限为</w:t>
      </w:r>
      <w:r>
        <w:rPr>
          <w:kern w:val="0"/>
          <w:szCs w:val="32"/>
          <w:u w:val="wave"/>
        </w:rPr>
        <w:t>XX</w:t>
      </w:r>
      <w:r>
        <w:rPr>
          <w:kern w:val="0"/>
          <w:szCs w:val="32"/>
          <w:u w:val="wave"/>
          <w:lang w:val="zh-CN"/>
        </w:rPr>
        <w:t>个工作日，公告的同时向</w:t>
      </w:r>
      <w:r>
        <w:rPr>
          <w:kern w:val="0"/>
          <w:szCs w:val="32"/>
          <w:u w:val="wave"/>
        </w:rPr>
        <w:t>投</w:t>
      </w:r>
      <w:r>
        <w:rPr>
          <w:kern w:val="0"/>
          <w:szCs w:val="32"/>
          <w:u w:val="wave"/>
          <w:lang w:val="zh-CN"/>
        </w:rPr>
        <w:t>标人发出</w:t>
      </w:r>
      <w:r>
        <w:rPr>
          <w:kern w:val="0"/>
          <w:szCs w:val="32"/>
          <w:u w:val="wave"/>
        </w:rPr>
        <w:t>入围通知书</w:t>
      </w:r>
      <w:r>
        <w:rPr>
          <w:kern w:val="0"/>
          <w:szCs w:val="32"/>
          <w:u w:val="wave"/>
          <w:lang w:val="zh-CN"/>
        </w:rPr>
        <w:t>。</w:t>
      </w:r>
    </w:p>
    <w:p>
      <w:pPr>
        <w:overflowPunct/>
        <w:autoSpaceDE w:val="0"/>
        <w:autoSpaceDN w:val="0"/>
        <w:adjustRightInd/>
        <w:snapToGrid/>
        <w:spacing w:line="560" w:lineRule="exact"/>
        <w:ind w:firstLine="640"/>
        <w:rPr>
          <w:kern w:val="0"/>
          <w:szCs w:val="32"/>
          <w:lang w:val="zh-CN"/>
        </w:rPr>
      </w:pPr>
      <w:r>
        <w:rPr>
          <w:kern w:val="0"/>
          <w:szCs w:val="32"/>
          <w:lang w:val="zh-CN"/>
        </w:rPr>
        <w:t>2</w:t>
      </w:r>
      <w:r>
        <w:rPr>
          <w:kern w:val="0"/>
          <w:szCs w:val="32"/>
        </w:rPr>
        <w:t>0</w:t>
      </w:r>
      <w:r>
        <w:rPr>
          <w:kern w:val="0"/>
          <w:szCs w:val="32"/>
          <w:lang w:val="zh-CN"/>
        </w:rPr>
        <w:t>.3 入围通知书对采购人和投标人具有同等法律效力。</w:t>
      </w:r>
    </w:p>
    <w:p>
      <w:pPr>
        <w:overflowPunct/>
        <w:autoSpaceDE w:val="0"/>
        <w:autoSpaceDN w:val="0"/>
        <w:adjustRightInd/>
        <w:snapToGrid/>
        <w:spacing w:line="560" w:lineRule="exact"/>
        <w:ind w:firstLine="640"/>
        <w:rPr>
          <w:kern w:val="0"/>
          <w:szCs w:val="32"/>
          <w:lang w:val="zh-CN"/>
        </w:rPr>
      </w:pPr>
      <w:r>
        <w:rPr>
          <w:kern w:val="0"/>
          <w:szCs w:val="32"/>
          <w:lang w:val="zh-CN"/>
        </w:rPr>
        <w:t>2</w:t>
      </w:r>
      <w:r>
        <w:rPr>
          <w:kern w:val="0"/>
          <w:szCs w:val="32"/>
        </w:rPr>
        <w:t>0</w:t>
      </w:r>
      <w:r>
        <w:rPr>
          <w:kern w:val="0"/>
          <w:szCs w:val="32"/>
          <w:lang w:val="zh-CN"/>
        </w:rPr>
        <w:t>.4</w:t>
      </w:r>
      <w:r>
        <w:rPr>
          <w:kern w:val="0"/>
          <w:szCs w:val="32"/>
        </w:rPr>
        <w:t xml:space="preserve"> </w:t>
      </w:r>
      <w:r>
        <w:rPr>
          <w:kern w:val="0"/>
          <w:szCs w:val="32"/>
          <w:lang w:val="zh-CN"/>
        </w:rPr>
        <w:t>入围通知书发出后，采购人或中标人拒绝签订合同的，拒绝签订合同的一方应至少向另一方支付补偿金，以及为采购、投标所发生的有关费用和双方商定的其他补偿。</w:t>
      </w:r>
    </w:p>
    <w:p>
      <w:pPr>
        <w:overflowPunct/>
        <w:autoSpaceDE w:val="0"/>
        <w:autoSpaceDN w:val="0"/>
        <w:adjustRightInd/>
        <w:snapToGrid/>
        <w:spacing w:line="560" w:lineRule="exact"/>
        <w:ind w:firstLine="640"/>
        <w:rPr>
          <w:kern w:val="0"/>
          <w:szCs w:val="32"/>
          <w:lang w:val="zh-CN"/>
        </w:rPr>
      </w:pPr>
      <w:r>
        <w:rPr>
          <w:kern w:val="0"/>
          <w:szCs w:val="32"/>
          <w:lang w:val="zh-CN"/>
        </w:rPr>
        <w:t>2</w:t>
      </w:r>
      <w:r>
        <w:rPr>
          <w:kern w:val="0"/>
          <w:szCs w:val="32"/>
        </w:rPr>
        <w:t>0</w:t>
      </w:r>
      <w:r>
        <w:rPr>
          <w:kern w:val="0"/>
          <w:szCs w:val="32"/>
          <w:lang w:val="zh-CN"/>
        </w:rPr>
        <w:t>.5 入围通知书发出后，中标人无正当理由不与采购人签订合同的，情节严重，由</w:t>
      </w:r>
      <w:r>
        <w:rPr>
          <w:kern w:val="0"/>
          <w:szCs w:val="32"/>
        </w:rPr>
        <w:t>相关</w:t>
      </w:r>
      <w:r>
        <w:rPr>
          <w:kern w:val="0"/>
          <w:szCs w:val="32"/>
          <w:lang w:val="zh-CN"/>
        </w:rPr>
        <w:t>部门将其列入不良行为记录名单，在一至三年内禁止参加后续采购活动，并予以通报。</w:t>
      </w:r>
    </w:p>
    <w:p>
      <w:pPr>
        <w:overflowPunct/>
        <w:autoSpaceDE w:val="0"/>
        <w:autoSpaceDN w:val="0"/>
        <w:adjustRightInd/>
        <w:snapToGrid/>
        <w:spacing w:line="560" w:lineRule="exact"/>
        <w:ind w:firstLine="640"/>
        <w:rPr>
          <w:kern w:val="0"/>
          <w:szCs w:val="32"/>
          <w:lang w:val="zh-CN"/>
        </w:rPr>
      </w:pPr>
      <w:r>
        <w:rPr>
          <w:kern w:val="0"/>
          <w:szCs w:val="32"/>
        </w:rPr>
        <w:t>20</w:t>
      </w:r>
      <w:r>
        <w:rPr>
          <w:kern w:val="0"/>
          <w:szCs w:val="32"/>
          <w:lang w:val="zh-CN"/>
        </w:rPr>
        <w:t>.</w:t>
      </w:r>
      <w:r>
        <w:rPr>
          <w:kern w:val="0"/>
          <w:szCs w:val="32"/>
        </w:rPr>
        <w:t>6</w:t>
      </w:r>
      <w:r>
        <w:rPr>
          <w:kern w:val="0"/>
          <w:szCs w:val="32"/>
          <w:lang w:val="zh-CN"/>
        </w:rPr>
        <w:t xml:space="preserve"> </w:t>
      </w:r>
      <w:r>
        <w:rPr>
          <w:rFonts w:hint="eastAsia"/>
          <w:kern w:val="0"/>
          <w:szCs w:val="32"/>
          <w:lang w:val="zh-CN"/>
        </w:rPr>
        <w:t>资格审查</w:t>
      </w:r>
      <w:r>
        <w:rPr>
          <w:kern w:val="0"/>
          <w:szCs w:val="32"/>
          <w:lang w:val="zh-CN"/>
        </w:rPr>
        <w:t>通过的投标人有下列情形之一，取消其</w:t>
      </w:r>
      <w:r>
        <w:rPr>
          <w:kern w:val="0"/>
          <w:szCs w:val="32"/>
        </w:rPr>
        <w:t>参与后续投标</w:t>
      </w:r>
      <w:r>
        <w:rPr>
          <w:kern w:val="0"/>
          <w:szCs w:val="32"/>
          <w:lang w:val="zh-CN"/>
        </w:rPr>
        <w:t>资格：</w:t>
      </w:r>
    </w:p>
    <w:p>
      <w:pPr>
        <w:overflowPunct/>
        <w:autoSpaceDE w:val="0"/>
        <w:autoSpaceDN w:val="0"/>
        <w:adjustRightInd/>
        <w:snapToGrid/>
        <w:spacing w:line="560" w:lineRule="exact"/>
        <w:ind w:firstLine="640"/>
        <w:rPr>
          <w:kern w:val="0"/>
          <w:szCs w:val="32"/>
          <w:lang w:val="zh-CN"/>
        </w:rPr>
      </w:pPr>
      <w:r>
        <w:rPr>
          <w:kern w:val="0"/>
          <w:szCs w:val="32"/>
          <w:lang w:val="zh-CN"/>
        </w:rPr>
        <w:t>（</w:t>
      </w:r>
      <w:r>
        <w:rPr>
          <w:kern w:val="0"/>
          <w:szCs w:val="32"/>
        </w:rPr>
        <w:t>1</w:t>
      </w:r>
      <w:r>
        <w:rPr>
          <w:kern w:val="0"/>
          <w:szCs w:val="32"/>
          <w:lang w:val="zh-CN"/>
        </w:rPr>
        <w:t>）恶意串通谋取</w:t>
      </w:r>
      <w:r>
        <w:rPr>
          <w:kern w:val="0"/>
          <w:szCs w:val="32"/>
        </w:rPr>
        <w:t>资格通过</w:t>
      </w:r>
      <w:r>
        <w:rPr>
          <w:kern w:val="0"/>
          <w:szCs w:val="32"/>
          <w:lang w:val="zh-CN"/>
        </w:rPr>
        <w:t>。</w:t>
      </w:r>
    </w:p>
    <w:p>
      <w:pPr>
        <w:overflowPunct/>
        <w:autoSpaceDE w:val="0"/>
        <w:autoSpaceDN w:val="0"/>
        <w:adjustRightInd/>
        <w:snapToGrid/>
        <w:spacing w:line="560" w:lineRule="exact"/>
        <w:ind w:firstLine="640"/>
        <w:rPr>
          <w:kern w:val="0"/>
          <w:szCs w:val="32"/>
          <w:lang w:val="zh-CN"/>
        </w:rPr>
      </w:pPr>
      <w:r>
        <w:rPr>
          <w:kern w:val="0"/>
          <w:szCs w:val="32"/>
        </w:rPr>
        <w:t>（2）</w:t>
      </w:r>
      <w:r>
        <w:rPr>
          <w:kern w:val="0"/>
          <w:szCs w:val="32"/>
          <w:lang w:val="zh-CN"/>
        </w:rPr>
        <w:t>提供虚假材料谋取资格通过。 </w:t>
      </w:r>
    </w:p>
    <w:p>
      <w:pPr>
        <w:overflowPunct/>
        <w:autoSpaceDE w:val="0"/>
        <w:autoSpaceDN w:val="0"/>
        <w:adjustRightInd/>
        <w:snapToGrid/>
        <w:spacing w:line="560" w:lineRule="exact"/>
        <w:ind w:firstLine="640"/>
        <w:rPr>
          <w:kern w:val="0"/>
          <w:szCs w:val="32"/>
          <w:u w:val="wave"/>
          <w:lang w:val="zh-CN"/>
        </w:rPr>
      </w:pPr>
      <w:r>
        <w:rPr>
          <w:kern w:val="0"/>
          <w:szCs w:val="32"/>
          <w:u w:val="wave"/>
        </w:rPr>
        <w:t>（3）</w:t>
      </w:r>
      <w:r>
        <w:rPr>
          <w:kern w:val="0"/>
          <w:szCs w:val="32"/>
          <w:u w:val="wave"/>
          <w:lang w:val="zh-CN"/>
        </w:rPr>
        <w:t>经采购人请求履行后仍不履行或者仍未按约定履行。</w:t>
      </w:r>
    </w:p>
    <w:p>
      <w:pPr>
        <w:overflowPunct/>
        <w:autoSpaceDE w:val="0"/>
        <w:autoSpaceDN w:val="0"/>
        <w:adjustRightInd/>
        <w:snapToGrid/>
        <w:spacing w:line="560" w:lineRule="exact"/>
        <w:ind w:firstLine="640"/>
        <w:rPr>
          <w:kern w:val="0"/>
          <w:szCs w:val="32"/>
          <w:lang w:val="zh-CN"/>
        </w:rPr>
      </w:pPr>
      <w:r>
        <w:rPr>
          <w:kern w:val="0"/>
          <w:szCs w:val="32"/>
        </w:rPr>
        <w:t>（4）入围协议</w:t>
      </w:r>
      <w:r>
        <w:rPr>
          <w:kern w:val="0"/>
          <w:szCs w:val="32"/>
          <w:lang w:val="zh-CN"/>
        </w:rPr>
        <w:t>有效期内，因违法行为被禁止或限制参加采购活动。</w:t>
      </w:r>
    </w:p>
    <w:p>
      <w:pPr>
        <w:overflowPunct/>
        <w:autoSpaceDE w:val="0"/>
        <w:autoSpaceDN w:val="0"/>
        <w:adjustRightInd/>
        <w:snapToGrid/>
        <w:spacing w:line="560" w:lineRule="exact"/>
        <w:ind w:firstLine="640"/>
        <w:rPr>
          <w:b/>
          <w:bCs/>
          <w:kern w:val="0"/>
          <w:szCs w:val="32"/>
          <w:lang w:val="zh-CN"/>
        </w:rPr>
      </w:pPr>
      <w:r>
        <w:rPr>
          <w:kern w:val="0"/>
          <w:szCs w:val="32"/>
        </w:rPr>
        <w:t>（5）</w:t>
      </w:r>
      <w:r>
        <w:rPr>
          <w:kern w:val="0"/>
          <w:szCs w:val="32"/>
          <w:lang w:val="zh-CN"/>
        </w:rPr>
        <w:t>约定的其他情形</w:t>
      </w:r>
      <w:r>
        <w:rPr>
          <w:b/>
          <w:bCs/>
          <w:kern w:val="0"/>
          <w:szCs w:val="32"/>
          <w:lang w:val="zh-CN"/>
        </w:rPr>
        <w:t>。</w:t>
      </w:r>
    </w:p>
    <w:p>
      <w:pPr>
        <w:overflowPunct/>
        <w:autoSpaceDE w:val="0"/>
        <w:autoSpaceDN w:val="0"/>
        <w:adjustRightInd/>
        <w:snapToGrid/>
        <w:spacing w:line="560" w:lineRule="exact"/>
        <w:ind w:firstLine="640"/>
        <w:rPr>
          <w:kern w:val="0"/>
          <w:szCs w:val="32"/>
          <w:lang w:val="zh-CN"/>
        </w:rPr>
      </w:pPr>
      <w:r>
        <w:rPr>
          <w:kern w:val="0"/>
          <w:szCs w:val="32"/>
        </w:rPr>
        <w:t xml:space="preserve">20.7 </w:t>
      </w:r>
      <w:r>
        <w:rPr>
          <w:kern w:val="0"/>
          <w:szCs w:val="32"/>
          <w:lang w:val="zh-CN"/>
        </w:rPr>
        <w:t>被解除</w:t>
      </w:r>
      <w:r>
        <w:rPr>
          <w:kern w:val="0"/>
          <w:szCs w:val="32"/>
        </w:rPr>
        <w:t>资格</w:t>
      </w:r>
      <w:r>
        <w:rPr>
          <w:kern w:val="0"/>
          <w:szCs w:val="32"/>
          <w:lang w:val="zh-CN"/>
        </w:rPr>
        <w:t>的投标人不得参加同一</w:t>
      </w:r>
      <w:r>
        <w:rPr>
          <w:kern w:val="0"/>
          <w:szCs w:val="32"/>
        </w:rPr>
        <w:t>项目的后续采购活动</w:t>
      </w:r>
      <w:r>
        <w:rPr>
          <w:kern w:val="0"/>
          <w:szCs w:val="32"/>
          <w:lang w:val="zh-CN"/>
        </w:rPr>
        <w:t>。</w:t>
      </w:r>
    </w:p>
    <w:p>
      <w:pPr>
        <w:overflowPunct/>
        <w:autoSpaceDE w:val="0"/>
        <w:autoSpaceDN w:val="0"/>
        <w:adjustRightInd/>
        <w:snapToGrid/>
        <w:spacing w:line="560" w:lineRule="exact"/>
        <w:ind w:firstLine="640"/>
        <w:rPr>
          <w:kern w:val="0"/>
          <w:szCs w:val="32"/>
          <w:lang w:val="zh-CN"/>
        </w:rPr>
      </w:pPr>
      <w:r>
        <w:rPr>
          <w:kern w:val="0"/>
          <w:szCs w:val="32"/>
          <w:lang w:val="zh-CN"/>
        </w:rPr>
        <w:t>2</w:t>
      </w:r>
      <w:r>
        <w:rPr>
          <w:kern w:val="0"/>
          <w:szCs w:val="32"/>
        </w:rPr>
        <w:t>0.8</w:t>
      </w:r>
      <w:r>
        <w:rPr>
          <w:kern w:val="0"/>
          <w:szCs w:val="32"/>
          <w:lang w:val="zh-CN"/>
        </w:rPr>
        <w:t xml:space="preserve"> 所有</w:t>
      </w:r>
      <w:r>
        <w:rPr>
          <w:kern w:val="0"/>
          <w:szCs w:val="32"/>
        </w:rPr>
        <w:t>资格</w:t>
      </w:r>
      <w:r>
        <w:rPr>
          <w:kern w:val="0"/>
          <w:szCs w:val="32"/>
          <w:lang w:val="zh-CN"/>
        </w:rPr>
        <w:t>文件不论</w:t>
      </w:r>
      <w:r>
        <w:rPr>
          <w:kern w:val="0"/>
          <w:szCs w:val="32"/>
        </w:rPr>
        <w:t>通过</w:t>
      </w:r>
      <w:r>
        <w:rPr>
          <w:kern w:val="0"/>
          <w:szCs w:val="32"/>
          <w:lang w:val="zh-CN"/>
        </w:rPr>
        <w:t>与否，均不退回。</w:t>
      </w:r>
    </w:p>
    <w:p>
      <w:pPr>
        <w:overflowPunct/>
        <w:autoSpaceDE w:val="0"/>
        <w:autoSpaceDN w:val="0"/>
        <w:adjustRightInd/>
        <w:snapToGrid/>
        <w:spacing w:line="560" w:lineRule="exact"/>
        <w:ind w:firstLine="643"/>
        <w:rPr>
          <w:b/>
          <w:bCs/>
          <w:kern w:val="0"/>
          <w:szCs w:val="32"/>
          <w:lang w:val="zh-CN"/>
        </w:rPr>
      </w:pPr>
      <w:r>
        <w:rPr>
          <w:b/>
          <w:bCs/>
          <w:kern w:val="0"/>
          <w:szCs w:val="32"/>
          <w:lang w:val="zh-CN"/>
        </w:rPr>
        <w:t>2</w:t>
      </w:r>
      <w:r>
        <w:rPr>
          <w:b/>
          <w:bCs/>
          <w:kern w:val="0"/>
          <w:szCs w:val="32"/>
        </w:rPr>
        <w:t>1</w:t>
      </w:r>
      <w:r>
        <w:rPr>
          <w:b/>
          <w:bCs/>
          <w:kern w:val="0"/>
          <w:szCs w:val="32"/>
          <w:lang w:val="zh-CN"/>
        </w:rPr>
        <w:t>.编写</w:t>
      </w:r>
      <w:r>
        <w:rPr>
          <w:b/>
          <w:bCs/>
          <w:kern w:val="0"/>
          <w:szCs w:val="32"/>
        </w:rPr>
        <w:t>资格审查</w:t>
      </w:r>
      <w:r>
        <w:rPr>
          <w:b/>
          <w:bCs/>
          <w:kern w:val="0"/>
          <w:szCs w:val="32"/>
          <w:lang w:val="zh-CN"/>
        </w:rPr>
        <w:t>报告</w:t>
      </w:r>
    </w:p>
    <w:p>
      <w:pPr>
        <w:overflowPunct/>
        <w:autoSpaceDE w:val="0"/>
        <w:autoSpaceDN w:val="0"/>
        <w:adjustRightInd/>
        <w:snapToGrid/>
        <w:spacing w:line="560" w:lineRule="exact"/>
        <w:ind w:firstLine="640"/>
        <w:rPr>
          <w:kern w:val="0"/>
          <w:szCs w:val="32"/>
          <w:lang w:val="zh-CN"/>
        </w:rPr>
      </w:pPr>
      <w:r>
        <w:rPr>
          <w:kern w:val="0"/>
          <w:szCs w:val="32"/>
          <w:lang w:val="zh-CN"/>
        </w:rPr>
        <w:t>2</w:t>
      </w:r>
      <w:r>
        <w:rPr>
          <w:kern w:val="0"/>
          <w:szCs w:val="32"/>
        </w:rPr>
        <w:t>1</w:t>
      </w:r>
      <w:r>
        <w:rPr>
          <w:kern w:val="0"/>
          <w:szCs w:val="32"/>
          <w:lang w:val="zh-CN"/>
        </w:rPr>
        <w:t>.1资格审查小组根据全体</w:t>
      </w:r>
      <w:r>
        <w:rPr>
          <w:kern w:val="0"/>
          <w:szCs w:val="32"/>
        </w:rPr>
        <w:t>审查</w:t>
      </w:r>
      <w:r>
        <w:rPr>
          <w:kern w:val="0"/>
          <w:szCs w:val="32"/>
          <w:lang w:val="zh-CN"/>
        </w:rPr>
        <w:t>成员签字的原始</w:t>
      </w:r>
      <w:r>
        <w:rPr>
          <w:kern w:val="0"/>
          <w:szCs w:val="32"/>
        </w:rPr>
        <w:t>审查</w:t>
      </w:r>
      <w:r>
        <w:rPr>
          <w:kern w:val="0"/>
          <w:szCs w:val="32"/>
          <w:lang w:val="zh-CN"/>
        </w:rPr>
        <w:t>记录和</w:t>
      </w:r>
      <w:r>
        <w:rPr>
          <w:kern w:val="0"/>
          <w:szCs w:val="32"/>
        </w:rPr>
        <w:t>审查</w:t>
      </w:r>
      <w:r>
        <w:rPr>
          <w:kern w:val="0"/>
          <w:szCs w:val="32"/>
          <w:lang w:val="zh-CN"/>
        </w:rPr>
        <w:t>结果编写</w:t>
      </w:r>
      <w:r>
        <w:rPr>
          <w:kern w:val="0"/>
          <w:szCs w:val="32"/>
        </w:rPr>
        <w:t>资格审查</w:t>
      </w:r>
      <w:r>
        <w:rPr>
          <w:kern w:val="0"/>
          <w:szCs w:val="32"/>
          <w:lang w:val="zh-CN"/>
        </w:rPr>
        <w:t>报告。</w:t>
      </w:r>
    </w:p>
    <w:p>
      <w:pPr>
        <w:overflowPunct/>
        <w:autoSpaceDE w:val="0"/>
        <w:autoSpaceDN w:val="0"/>
        <w:adjustRightInd/>
        <w:snapToGrid/>
        <w:spacing w:line="560" w:lineRule="exact"/>
        <w:ind w:firstLine="640"/>
        <w:rPr>
          <w:rFonts w:eastAsia="黑体"/>
          <w:kern w:val="0"/>
          <w:szCs w:val="32"/>
        </w:rPr>
      </w:pPr>
      <w:r>
        <w:rPr>
          <w:rFonts w:eastAsia="黑体"/>
          <w:kern w:val="0"/>
          <w:szCs w:val="32"/>
          <w:lang w:val="zh-CN"/>
        </w:rPr>
        <w:t>六、签订</w:t>
      </w:r>
      <w:r>
        <w:rPr>
          <w:rFonts w:eastAsia="黑体"/>
          <w:kern w:val="0"/>
          <w:szCs w:val="32"/>
        </w:rPr>
        <w:t>入围协议</w:t>
      </w:r>
    </w:p>
    <w:p>
      <w:pPr>
        <w:overflowPunct/>
        <w:autoSpaceDE w:val="0"/>
        <w:autoSpaceDN w:val="0"/>
        <w:adjustRightInd/>
        <w:snapToGrid/>
        <w:spacing w:line="560" w:lineRule="exact"/>
        <w:ind w:firstLine="643"/>
        <w:rPr>
          <w:b/>
          <w:bCs/>
          <w:kern w:val="0"/>
          <w:szCs w:val="32"/>
          <w:u w:val="wave"/>
        </w:rPr>
      </w:pPr>
      <w:r>
        <w:rPr>
          <w:b/>
          <w:bCs/>
          <w:kern w:val="0"/>
          <w:szCs w:val="32"/>
          <w:u w:val="wave"/>
          <w:lang w:val="zh-CN"/>
        </w:rPr>
        <w:t>2</w:t>
      </w:r>
      <w:r>
        <w:rPr>
          <w:b/>
          <w:bCs/>
          <w:kern w:val="0"/>
          <w:szCs w:val="32"/>
          <w:u w:val="wave"/>
        </w:rPr>
        <w:t>2</w:t>
      </w:r>
      <w:r>
        <w:rPr>
          <w:b/>
          <w:bCs/>
          <w:kern w:val="0"/>
          <w:szCs w:val="32"/>
          <w:u w:val="wave"/>
          <w:lang w:val="zh-CN"/>
        </w:rPr>
        <w:t>.签订</w:t>
      </w:r>
      <w:r>
        <w:rPr>
          <w:b/>
          <w:bCs/>
          <w:kern w:val="0"/>
          <w:szCs w:val="32"/>
          <w:u w:val="wave"/>
        </w:rPr>
        <w:t>入围协议</w:t>
      </w:r>
    </w:p>
    <w:p>
      <w:pPr>
        <w:overflowPunct/>
        <w:autoSpaceDE w:val="0"/>
        <w:autoSpaceDN w:val="0"/>
        <w:adjustRightInd/>
        <w:snapToGrid/>
        <w:spacing w:line="560" w:lineRule="exact"/>
        <w:ind w:firstLine="640"/>
        <w:rPr>
          <w:kern w:val="0"/>
          <w:szCs w:val="32"/>
          <w:u w:val="wave"/>
          <w:lang w:val="zh-CN"/>
        </w:rPr>
      </w:pPr>
      <w:r>
        <w:rPr>
          <w:kern w:val="0"/>
          <w:szCs w:val="32"/>
          <w:u w:val="wave"/>
          <w:lang w:val="zh-CN"/>
        </w:rPr>
        <w:t>2</w:t>
      </w:r>
      <w:r>
        <w:rPr>
          <w:kern w:val="0"/>
          <w:szCs w:val="32"/>
          <w:u w:val="wave"/>
        </w:rPr>
        <w:t>2</w:t>
      </w:r>
      <w:r>
        <w:rPr>
          <w:kern w:val="0"/>
          <w:szCs w:val="32"/>
          <w:u w:val="wave"/>
          <w:lang w:val="zh-CN"/>
        </w:rPr>
        <w:t>.1</w:t>
      </w:r>
      <w:r>
        <w:rPr>
          <w:kern w:val="0"/>
          <w:szCs w:val="32"/>
          <w:u w:val="wave"/>
        </w:rPr>
        <w:t xml:space="preserve"> </w:t>
      </w:r>
      <w:r>
        <w:rPr>
          <w:kern w:val="0"/>
          <w:szCs w:val="32"/>
          <w:u w:val="wave"/>
          <w:lang w:val="zh-CN"/>
        </w:rPr>
        <w:t>采购人与</w:t>
      </w:r>
      <w:r>
        <w:rPr>
          <w:kern w:val="0"/>
          <w:szCs w:val="32"/>
          <w:u w:val="wave"/>
        </w:rPr>
        <w:t>投</w:t>
      </w:r>
      <w:r>
        <w:rPr>
          <w:kern w:val="0"/>
          <w:szCs w:val="32"/>
          <w:u w:val="wave"/>
          <w:lang w:val="zh-CN"/>
        </w:rPr>
        <w:t>标人应当自</w:t>
      </w:r>
      <w:r>
        <w:rPr>
          <w:kern w:val="0"/>
          <w:szCs w:val="32"/>
          <w:u w:val="wave"/>
        </w:rPr>
        <w:t>入围通知书</w:t>
      </w:r>
      <w:r>
        <w:rPr>
          <w:kern w:val="0"/>
          <w:szCs w:val="32"/>
          <w:u w:val="wave"/>
          <w:lang w:val="zh-CN"/>
        </w:rPr>
        <w:t>发出之日起</w:t>
      </w:r>
      <w:r>
        <w:rPr>
          <w:kern w:val="0"/>
          <w:szCs w:val="32"/>
          <w:u w:val="wave"/>
        </w:rPr>
        <w:t>XX</w:t>
      </w:r>
      <w:r>
        <w:rPr>
          <w:kern w:val="0"/>
          <w:szCs w:val="32"/>
          <w:u w:val="wave"/>
          <w:lang w:val="zh-CN"/>
        </w:rPr>
        <w:t>日内，按照</w:t>
      </w:r>
      <w:r>
        <w:rPr>
          <w:rFonts w:hint="eastAsia"/>
          <w:kern w:val="0"/>
          <w:szCs w:val="32"/>
          <w:u w:val="wave"/>
        </w:rPr>
        <w:t>资格审查</w:t>
      </w:r>
      <w:r>
        <w:rPr>
          <w:kern w:val="0"/>
          <w:szCs w:val="32"/>
          <w:u w:val="wave"/>
          <w:lang w:val="zh-CN"/>
        </w:rPr>
        <w:t>文件和</w:t>
      </w:r>
      <w:r>
        <w:rPr>
          <w:kern w:val="0"/>
          <w:szCs w:val="32"/>
          <w:u w:val="wave"/>
        </w:rPr>
        <w:t>投</w:t>
      </w:r>
      <w:r>
        <w:rPr>
          <w:kern w:val="0"/>
          <w:szCs w:val="32"/>
          <w:u w:val="wave"/>
          <w:lang w:val="zh-CN"/>
        </w:rPr>
        <w:t>标人</w:t>
      </w:r>
      <w:r>
        <w:rPr>
          <w:kern w:val="0"/>
          <w:szCs w:val="32"/>
          <w:u w:val="wave"/>
        </w:rPr>
        <w:t>资格</w:t>
      </w:r>
      <w:r>
        <w:rPr>
          <w:kern w:val="0"/>
          <w:szCs w:val="32"/>
          <w:u w:val="wave"/>
          <w:lang w:val="zh-CN"/>
        </w:rPr>
        <w:t>文件的规定，签订书面</w:t>
      </w:r>
      <w:r>
        <w:rPr>
          <w:kern w:val="0"/>
          <w:szCs w:val="32"/>
          <w:u w:val="wave"/>
        </w:rPr>
        <w:t>协议</w:t>
      </w:r>
      <w:r>
        <w:rPr>
          <w:kern w:val="0"/>
          <w:szCs w:val="32"/>
          <w:u w:val="wave"/>
          <w:lang w:val="zh-CN"/>
        </w:rPr>
        <w:t>。所签订的</w:t>
      </w:r>
      <w:r>
        <w:rPr>
          <w:kern w:val="0"/>
          <w:szCs w:val="32"/>
          <w:u w:val="wave"/>
        </w:rPr>
        <w:t>协议</w:t>
      </w:r>
      <w:r>
        <w:rPr>
          <w:kern w:val="0"/>
          <w:szCs w:val="32"/>
          <w:u w:val="wave"/>
          <w:lang w:val="zh-CN"/>
        </w:rPr>
        <w:t>不得对</w:t>
      </w:r>
      <w:r>
        <w:rPr>
          <w:rFonts w:hint="eastAsia"/>
          <w:kern w:val="0"/>
          <w:szCs w:val="32"/>
          <w:u w:val="wave"/>
          <w:lang w:val="zh-CN"/>
        </w:rPr>
        <w:t>资格审查</w:t>
      </w:r>
      <w:r>
        <w:rPr>
          <w:kern w:val="0"/>
          <w:szCs w:val="32"/>
          <w:u w:val="wave"/>
          <w:lang w:val="zh-CN"/>
        </w:rPr>
        <w:t>文件确定的事项和投标人资格文件作实质性修改。</w:t>
      </w:r>
    </w:p>
    <w:p>
      <w:pPr>
        <w:overflowPunct/>
        <w:autoSpaceDE w:val="0"/>
        <w:autoSpaceDN w:val="0"/>
        <w:adjustRightInd/>
        <w:snapToGrid/>
        <w:spacing w:line="560" w:lineRule="exact"/>
        <w:ind w:firstLine="640"/>
        <w:rPr>
          <w:kern w:val="0"/>
          <w:szCs w:val="32"/>
          <w:u w:val="wave"/>
          <w:lang w:val="zh-CN"/>
        </w:rPr>
      </w:pPr>
      <w:r>
        <w:rPr>
          <w:kern w:val="0"/>
          <w:szCs w:val="32"/>
          <w:u w:val="wave"/>
          <w:lang w:val="zh-CN"/>
        </w:rPr>
        <w:t>2</w:t>
      </w:r>
      <w:r>
        <w:rPr>
          <w:kern w:val="0"/>
          <w:szCs w:val="32"/>
          <w:u w:val="wave"/>
        </w:rPr>
        <w:t>2</w:t>
      </w:r>
      <w:r>
        <w:rPr>
          <w:kern w:val="0"/>
          <w:szCs w:val="32"/>
          <w:u w:val="wave"/>
          <w:lang w:val="zh-CN"/>
        </w:rPr>
        <w:t>.2</w:t>
      </w:r>
      <w:r>
        <w:rPr>
          <w:kern w:val="0"/>
          <w:szCs w:val="32"/>
          <w:u w:val="wave"/>
        </w:rPr>
        <w:t xml:space="preserve"> </w:t>
      </w:r>
      <w:r>
        <w:rPr>
          <w:kern w:val="0"/>
          <w:szCs w:val="32"/>
          <w:u w:val="wave"/>
          <w:lang w:val="zh-CN"/>
        </w:rPr>
        <w:t>采购人不得向投标人提出任何不合理的要求作为签订</w:t>
      </w:r>
      <w:r>
        <w:rPr>
          <w:kern w:val="0"/>
          <w:szCs w:val="32"/>
          <w:u w:val="wave"/>
        </w:rPr>
        <w:t>协议</w:t>
      </w:r>
      <w:r>
        <w:rPr>
          <w:kern w:val="0"/>
          <w:szCs w:val="32"/>
          <w:u w:val="wave"/>
          <w:lang w:val="zh-CN"/>
        </w:rPr>
        <w:t>的条件。</w:t>
      </w:r>
    </w:p>
    <w:p>
      <w:pPr>
        <w:overflowPunct/>
        <w:autoSpaceDE w:val="0"/>
        <w:autoSpaceDN w:val="0"/>
        <w:adjustRightInd/>
        <w:snapToGrid/>
        <w:spacing w:line="560" w:lineRule="exact"/>
        <w:ind w:firstLine="640"/>
        <w:rPr>
          <w:kern w:val="0"/>
          <w:szCs w:val="32"/>
          <w:u w:val="wave"/>
          <w:lang w:val="zh-CN"/>
        </w:rPr>
      </w:pPr>
      <w:r>
        <w:rPr>
          <w:kern w:val="0"/>
          <w:szCs w:val="32"/>
          <w:u w:val="wave"/>
          <w:lang w:val="zh-CN"/>
        </w:rPr>
        <w:t>2</w:t>
      </w:r>
      <w:r>
        <w:rPr>
          <w:kern w:val="0"/>
          <w:szCs w:val="32"/>
          <w:u w:val="wave"/>
        </w:rPr>
        <w:t>2</w:t>
      </w:r>
      <w:r>
        <w:rPr>
          <w:kern w:val="0"/>
          <w:szCs w:val="32"/>
          <w:u w:val="wave"/>
          <w:lang w:val="zh-CN"/>
        </w:rPr>
        <w:t>.</w:t>
      </w:r>
      <w:r>
        <w:rPr>
          <w:kern w:val="0"/>
          <w:szCs w:val="32"/>
          <w:u w:val="wave"/>
        </w:rPr>
        <w:t>3</w:t>
      </w:r>
      <w:r>
        <w:rPr>
          <w:kern w:val="0"/>
          <w:szCs w:val="32"/>
          <w:u w:val="wave"/>
          <w:lang w:val="zh-CN"/>
        </w:rPr>
        <w:t xml:space="preserve"> 采购人与投标人应当根据</w:t>
      </w:r>
      <w:r>
        <w:rPr>
          <w:kern w:val="0"/>
          <w:szCs w:val="32"/>
          <w:u w:val="wave"/>
        </w:rPr>
        <w:t>协议</w:t>
      </w:r>
      <w:r>
        <w:rPr>
          <w:kern w:val="0"/>
          <w:szCs w:val="32"/>
          <w:u w:val="wave"/>
          <w:lang w:val="zh-CN"/>
        </w:rPr>
        <w:t>的约定依法履行</w:t>
      </w:r>
      <w:r>
        <w:rPr>
          <w:kern w:val="0"/>
          <w:szCs w:val="32"/>
          <w:u w:val="wave"/>
        </w:rPr>
        <w:t>相关</w:t>
      </w:r>
      <w:r>
        <w:rPr>
          <w:kern w:val="0"/>
          <w:szCs w:val="32"/>
          <w:u w:val="wave"/>
          <w:lang w:val="zh-CN"/>
        </w:rPr>
        <w:t>义务。</w:t>
      </w:r>
    </w:p>
    <w:p>
      <w:pPr>
        <w:overflowPunct/>
        <w:autoSpaceDE w:val="0"/>
        <w:autoSpaceDN w:val="0"/>
        <w:adjustRightInd/>
        <w:snapToGrid/>
        <w:spacing w:line="560" w:lineRule="exact"/>
        <w:ind w:firstLine="640"/>
        <w:rPr>
          <w:rFonts w:eastAsia="黑体"/>
          <w:bCs/>
          <w:szCs w:val="32"/>
        </w:rPr>
      </w:pPr>
      <w:r>
        <w:rPr>
          <w:rFonts w:eastAsia="黑体"/>
          <w:bCs/>
          <w:szCs w:val="32"/>
        </w:rPr>
        <w:t>七、其他约定</w:t>
      </w:r>
    </w:p>
    <w:p>
      <w:pPr>
        <w:overflowPunct/>
        <w:autoSpaceDE w:val="0"/>
        <w:autoSpaceDN w:val="0"/>
        <w:adjustRightInd/>
        <w:snapToGrid/>
        <w:spacing w:line="560" w:lineRule="exact"/>
        <w:ind w:firstLine="643"/>
        <w:rPr>
          <w:b/>
          <w:szCs w:val="32"/>
        </w:rPr>
      </w:pPr>
      <w:r>
        <w:rPr>
          <w:b/>
          <w:szCs w:val="32"/>
        </w:rPr>
        <w:t>23.其他说明与提示</w:t>
      </w:r>
    </w:p>
    <w:p>
      <w:pPr>
        <w:overflowPunct/>
        <w:autoSpaceDE w:val="0"/>
        <w:autoSpaceDN w:val="0"/>
        <w:adjustRightInd/>
        <w:snapToGrid/>
        <w:spacing w:line="560" w:lineRule="exact"/>
        <w:ind w:firstLine="640"/>
        <w:rPr>
          <w:bCs/>
          <w:szCs w:val="32"/>
        </w:rPr>
      </w:pPr>
      <w:r>
        <w:rPr>
          <w:bCs/>
          <w:szCs w:val="32"/>
        </w:rPr>
        <w:t>23.1 本次采购范围仅限XXXXX有关项目，不对其他单位提供服务或有所限定。</w:t>
      </w:r>
    </w:p>
    <w:p>
      <w:pPr>
        <w:overflowPunct/>
        <w:autoSpaceDE w:val="0"/>
        <w:autoSpaceDN w:val="0"/>
        <w:adjustRightInd/>
        <w:snapToGrid/>
        <w:spacing w:line="560" w:lineRule="exact"/>
        <w:ind w:firstLine="640"/>
        <w:rPr>
          <w:bCs/>
          <w:szCs w:val="32"/>
        </w:rPr>
      </w:pPr>
      <w:r>
        <w:rPr>
          <w:bCs/>
          <w:szCs w:val="32"/>
        </w:rPr>
        <w:t>23.2 根据项目数量、项目预算、选择机制等因素，采购人不能保证投标人在服务期间所能获取的工作任务数量，投标人应充分考虑上述情况，并尽可能提供优惠的价格和优质的服务，以提高自身的竞争力。</w:t>
      </w:r>
    </w:p>
    <w:p>
      <w:pPr>
        <w:overflowPunct/>
        <w:autoSpaceDE w:val="0"/>
        <w:autoSpaceDN w:val="0"/>
        <w:adjustRightInd/>
        <w:snapToGrid/>
        <w:spacing w:line="560" w:lineRule="exact"/>
        <w:ind w:firstLine="640"/>
        <w:rPr>
          <w:szCs w:val="32"/>
          <w:lang w:val="zh-CN"/>
        </w:rPr>
      </w:pPr>
      <w:r>
        <w:rPr>
          <w:bCs/>
          <w:szCs w:val="32"/>
        </w:rPr>
        <w:t>23</w:t>
      </w:r>
      <w:r>
        <w:rPr>
          <w:bCs/>
          <w:szCs w:val="32"/>
          <w:lang w:val="zh-CN"/>
        </w:rPr>
        <w:t>.</w:t>
      </w:r>
      <w:r>
        <w:rPr>
          <w:bCs/>
          <w:szCs w:val="32"/>
        </w:rPr>
        <w:t>3</w:t>
      </w:r>
      <w:r>
        <w:rPr>
          <w:bCs/>
          <w:szCs w:val="32"/>
          <w:lang w:val="zh-CN"/>
        </w:rPr>
        <w:t xml:space="preserve"> </w:t>
      </w:r>
      <w:r>
        <w:rPr>
          <w:bCs/>
          <w:szCs w:val="32"/>
        </w:rPr>
        <w:t>采购人</w:t>
      </w:r>
      <w:r>
        <w:rPr>
          <w:bCs/>
          <w:szCs w:val="32"/>
          <w:lang w:val="zh-CN"/>
        </w:rPr>
        <w:t>将建立用户反馈和评价机制，对投标人履行</w:t>
      </w:r>
      <w:r>
        <w:rPr>
          <w:bCs/>
          <w:szCs w:val="32"/>
        </w:rPr>
        <w:t>报价响应</w:t>
      </w:r>
      <w:r>
        <w:rPr>
          <w:bCs/>
          <w:szCs w:val="32"/>
          <w:lang w:val="zh-CN"/>
        </w:rPr>
        <w:t>的反馈与评价，作为招标阶段选定成交投标人的参考。</w:t>
      </w:r>
    </w:p>
    <w:p>
      <w:pPr>
        <w:overflowPunct/>
        <w:autoSpaceDE w:val="0"/>
        <w:autoSpaceDN w:val="0"/>
        <w:adjustRightInd/>
        <w:snapToGrid/>
        <w:spacing w:line="560" w:lineRule="exact"/>
        <w:ind w:firstLine="640"/>
        <w:rPr>
          <w:bCs/>
          <w:szCs w:val="32"/>
        </w:rPr>
      </w:pPr>
      <w:r>
        <w:rPr>
          <w:bCs/>
          <w:szCs w:val="32"/>
        </w:rPr>
        <w:t>23.4 投标人及项目组人员有下列情形之一的，采购人可视情节轻重解除招标阶段投标资格、追究投标人违约责任：</w:t>
      </w:r>
    </w:p>
    <w:p>
      <w:pPr>
        <w:overflowPunct/>
        <w:autoSpaceDE w:val="0"/>
        <w:autoSpaceDN w:val="0"/>
        <w:adjustRightInd/>
        <w:snapToGrid/>
        <w:spacing w:line="560" w:lineRule="exact"/>
        <w:ind w:firstLine="640"/>
        <w:rPr>
          <w:bCs/>
          <w:szCs w:val="32"/>
        </w:rPr>
      </w:pPr>
      <w:r>
        <w:rPr>
          <w:bCs/>
          <w:szCs w:val="32"/>
        </w:rPr>
        <w:t>（1）恶意串通或提供虚假材料谋取资格审查通过；</w:t>
      </w:r>
    </w:p>
    <w:p>
      <w:pPr>
        <w:overflowPunct/>
        <w:autoSpaceDE w:val="0"/>
        <w:autoSpaceDN w:val="0"/>
        <w:adjustRightInd/>
        <w:snapToGrid/>
        <w:spacing w:line="560" w:lineRule="exact"/>
        <w:ind w:firstLine="640"/>
        <w:rPr>
          <w:bCs/>
          <w:szCs w:val="32"/>
        </w:rPr>
      </w:pPr>
      <w:r>
        <w:rPr>
          <w:bCs/>
          <w:szCs w:val="32"/>
        </w:rPr>
        <w:t>（2）服务有效期内，因违法行为被禁止或限制参加采购活动；</w:t>
      </w:r>
    </w:p>
    <w:p>
      <w:pPr>
        <w:overflowPunct/>
        <w:autoSpaceDE w:val="0"/>
        <w:autoSpaceDN w:val="0"/>
        <w:adjustRightInd/>
        <w:snapToGrid/>
        <w:spacing w:line="560" w:lineRule="exact"/>
        <w:ind w:firstLine="640"/>
        <w:rPr>
          <w:bCs/>
          <w:szCs w:val="32"/>
        </w:rPr>
      </w:pPr>
      <w:r>
        <w:rPr>
          <w:bCs/>
          <w:szCs w:val="32"/>
        </w:rPr>
        <w:t>（3）不履行合同义务或者履行义务不符合约定，经采购人请求履行后，仍不履行或仍未按规定履行；</w:t>
      </w:r>
    </w:p>
    <w:p>
      <w:pPr>
        <w:overflowPunct/>
        <w:autoSpaceDE w:val="0"/>
        <w:autoSpaceDN w:val="0"/>
        <w:adjustRightInd/>
        <w:snapToGrid/>
        <w:spacing w:line="560" w:lineRule="exact"/>
        <w:ind w:firstLine="640"/>
        <w:rPr>
          <w:bCs/>
          <w:szCs w:val="32"/>
        </w:rPr>
      </w:pPr>
      <w:r>
        <w:rPr>
          <w:bCs/>
          <w:szCs w:val="32"/>
        </w:rPr>
        <w:t>（4）违反廉政纪律，与被查单位串通舞弊，隐瞒工作中发现的违法违规违纪问题，从被查单位获取不正当利益；</w:t>
      </w:r>
    </w:p>
    <w:p>
      <w:pPr>
        <w:overflowPunct/>
        <w:autoSpaceDE w:val="0"/>
        <w:autoSpaceDN w:val="0"/>
        <w:adjustRightInd/>
        <w:snapToGrid/>
        <w:spacing w:line="560" w:lineRule="exact"/>
        <w:ind w:firstLine="640"/>
        <w:rPr>
          <w:bCs/>
          <w:szCs w:val="32"/>
        </w:rPr>
      </w:pPr>
      <w:r>
        <w:rPr>
          <w:bCs/>
          <w:szCs w:val="32"/>
        </w:rPr>
        <w:t>（5）违反保密纪律，将工作中取得的材料和信息透露给任何第三方且造成较恶劣后果；</w:t>
      </w:r>
    </w:p>
    <w:p>
      <w:pPr>
        <w:overflowPunct/>
        <w:autoSpaceDE w:val="0"/>
        <w:autoSpaceDN w:val="0"/>
        <w:adjustRightInd/>
        <w:snapToGrid/>
        <w:spacing w:line="560" w:lineRule="exact"/>
        <w:ind w:firstLine="640"/>
        <w:rPr>
          <w:bCs/>
          <w:szCs w:val="32"/>
        </w:rPr>
      </w:pPr>
      <w:r>
        <w:rPr>
          <w:bCs/>
          <w:szCs w:val="32"/>
        </w:rPr>
        <w:t>（6）违反回避规定，与被查单位存在可能损害独立性利害关系但未予以回避；</w:t>
      </w:r>
    </w:p>
    <w:p>
      <w:pPr>
        <w:overflowPunct/>
        <w:autoSpaceDE w:val="0"/>
        <w:autoSpaceDN w:val="0"/>
        <w:adjustRightInd/>
        <w:snapToGrid/>
        <w:spacing w:line="560" w:lineRule="exact"/>
        <w:ind w:firstLine="640"/>
        <w:rPr>
          <w:bCs/>
          <w:szCs w:val="32"/>
        </w:rPr>
      </w:pPr>
      <w:r>
        <w:rPr>
          <w:bCs/>
          <w:szCs w:val="32"/>
        </w:rPr>
        <w:t>（7）未经采购人批准擅自调整联络人；</w:t>
      </w:r>
    </w:p>
    <w:p>
      <w:pPr>
        <w:overflowPunct/>
        <w:autoSpaceDE w:val="0"/>
        <w:autoSpaceDN w:val="0"/>
        <w:adjustRightInd/>
        <w:snapToGrid/>
        <w:spacing w:line="560" w:lineRule="exact"/>
        <w:ind w:firstLine="640"/>
        <w:rPr>
          <w:bCs/>
          <w:szCs w:val="32"/>
        </w:rPr>
      </w:pPr>
      <w:r>
        <w:rPr>
          <w:bCs/>
          <w:szCs w:val="32"/>
        </w:rPr>
        <w:t>（8）拒绝接受采购人业务指导和监督；</w:t>
      </w:r>
    </w:p>
    <w:p>
      <w:pPr>
        <w:overflowPunct/>
        <w:autoSpaceDE w:val="0"/>
        <w:autoSpaceDN w:val="0"/>
        <w:adjustRightInd/>
        <w:snapToGrid/>
        <w:spacing w:line="560" w:lineRule="exact"/>
        <w:ind w:firstLine="640"/>
        <w:rPr>
          <w:bCs/>
          <w:szCs w:val="32"/>
        </w:rPr>
      </w:pPr>
      <w:r>
        <w:rPr>
          <w:bCs/>
          <w:szCs w:val="32"/>
        </w:rPr>
        <w:t>（9）各方面工作质量不满足采购人要求，且经采购人督导整改无效；</w:t>
      </w:r>
    </w:p>
    <w:p>
      <w:pPr>
        <w:overflowPunct/>
        <w:autoSpaceDE w:val="0"/>
        <w:autoSpaceDN w:val="0"/>
        <w:adjustRightInd/>
        <w:snapToGrid/>
        <w:spacing w:line="560" w:lineRule="exact"/>
        <w:ind w:firstLine="640"/>
        <w:rPr>
          <w:bCs/>
          <w:szCs w:val="32"/>
        </w:rPr>
      </w:pPr>
      <w:r>
        <w:rPr>
          <w:bCs/>
          <w:szCs w:val="32"/>
        </w:rPr>
        <w:t>（10）其他违反法律法规和合同约定情形的行为。</w:t>
      </w:r>
    </w:p>
    <w:p>
      <w:pPr>
        <w:overflowPunct/>
        <w:autoSpaceDE w:val="0"/>
        <w:autoSpaceDN w:val="0"/>
        <w:adjustRightInd/>
        <w:snapToGrid/>
        <w:spacing w:line="560" w:lineRule="exact"/>
        <w:ind w:firstLine="640"/>
        <w:rPr>
          <w:rFonts w:eastAsia="黑体"/>
          <w:bCs/>
          <w:szCs w:val="32"/>
          <w:lang w:val="zh-CN"/>
        </w:rPr>
      </w:pPr>
      <w:r>
        <w:rPr>
          <w:rFonts w:eastAsia="黑体"/>
          <w:bCs/>
          <w:szCs w:val="32"/>
        </w:rPr>
        <w:t>八</w:t>
      </w:r>
      <w:r>
        <w:rPr>
          <w:rFonts w:eastAsia="黑体"/>
          <w:bCs/>
          <w:szCs w:val="32"/>
          <w:lang w:val="zh-CN"/>
        </w:rPr>
        <w:t>、质疑与投诉</w:t>
      </w:r>
    </w:p>
    <w:p>
      <w:pPr>
        <w:overflowPunct/>
        <w:autoSpaceDE w:val="0"/>
        <w:autoSpaceDN w:val="0"/>
        <w:adjustRightInd/>
        <w:snapToGrid/>
        <w:spacing w:line="560" w:lineRule="exact"/>
        <w:ind w:firstLine="643"/>
        <w:rPr>
          <w:b/>
          <w:szCs w:val="32"/>
          <w:lang w:val="zh-CN"/>
        </w:rPr>
      </w:pPr>
      <w:r>
        <w:rPr>
          <w:b/>
          <w:szCs w:val="32"/>
        </w:rPr>
        <w:t>24</w:t>
      </w:r>
      <w:r>
        <w:rPr>
          <w:b/>
          <w:szCs w:val="32"/>
          <w:lang w:val="zh-CN"/>
        </w:rPr>
        <w:t>. 质疑</w:t>
      </w:r>
    </w:p>
    <w:p>
      <w:pPr>
        <w:shd w:val="clear" w:color="auto" w:fill="FFFFFF"/>
        <w:overflowPunct/>
        <w:adjustRightInd/>
        <w:snapToGrid/>
        <w:spacing w:line="560" w:lineRule="exact"/>
        <w:ind w:firstLine="640"/>
        <w:rPr>
          <w:kern w:val="0"/>
          <w:szCs w:val="32"/>
        </w:rPr>
      </w:pPr>
      <w:r>
        <w:rPr>
          <w:kern w:val="0"/>
          <w:szCs w:val="32"/>
        </w:rPr>
        <w:t>24.1投标人对</w:t>
      </w:r>
      <w:r>
        <w:rPr>
          <w:szCs w:val="32"/>
        </w:rPr>
        <w:t>采购</w:t>
      </w:r>
      <w:r>
        <w:rPr>
          <w:kern w:val="0"/>
          <w:szCs w:val="32"/>
        </w:rPr>
        <w:t>活动事项有疑问的，可以向采购代理机构提出询问，采购代理机构将依法作出答复，但答复的内容不涉及商业秘密。</w:t>
      </w:r>
    </w:p>
    <w:p>
      <w:pPr>
        <w:shd w:val="clear" w:color="auto" w:fill="FFFFFF"/>
        <w:overflowPunct/>
        <w:adjustRightInd/>
        <w:snapToGrid/>
        <w:spacing w:line="560" w:lineRule="exact"/>
        <w:ind w:firstLine="640"/>
        <w:rPr>
          <w:kern w:val="0"/>
          <w:szCs w:val="32"/>
        </w:rPr>
      </w:pPr>
      <w:r>
        <w:rPr>
          <w:kern w:val="0"/>
          <w:szCs w:val="32"/>
        </w:rPr>
        <w:t>24.2提出质疑的投标人应当是参与所质疑项目采购活动的投标人。潜在投标人已依法获取其可质疑的</w:t>
      </w:r>
      <w:r>
        <w:rPr>
          <w:rFonts w:hint="eastAsia"/>
          <w:szCs w:val="32"/>
        </w:rPr>
        <w:t>资格审查</w:t>
      </w:r>
      <w:r>
        <w:rPr>
          <w:szCs w:val="32"/>
        </w:rPr>
        <w:t>文件</w:t>
      </w:r>
      <w:r>
        <w:rPr>
          <w:kern w:val="0"/>
          <w:szCs w:val="32"/>
        </w:rPr>
        <w:t>的，可以对该文件提出质疑。</w:t>
      </w:r>
    </w:p>
    <w:p>
      <w:pPr>
        <w:shd w:val="clear" w:color="auto" w:fill="FFFFFF"/>
        <w:overflowPunct/>
        <w:adjustRightInd/>
        <w:snapToGrid/>
        <w:spacing w:line="560" w:lineRule="exact"/>
        <w:ind w:firstLine="640"/>
        <w:rPr>
          <w:kern w:val="0"/>
          <w:szCs w:val="32"/>
        </w:rPr>
      </w:pPr>
      <w:r>
        <w:rPr>
          <w:kern w:val="0"/>
          <w:szCs w:val="32"/>
        </w:rPr>
        <w:t>24.3投标人认为</w:t>
      </w:r>
      <w:r>
        <w:rPr>
          <w:rFonts w:hint="eastAsia"/>
          <w:szCs w:val="32"/>
        </w:rPr>
        <w:t>资格审查</w:t>
      </w:r>
      <w:r>
        <w:rPr>
          <w:szCs w:val="32"/>
        </w:rPr>
        <w:t>文件</w:t>
      </w:r>
      <w:r>
        <w:rPr>
          <w:kern w:val="0"/>
          <w:szCs w:val="32"/>
        </w:rPr>
        <w:t>、</w:t>
      </w:r>
      <w:r>
        <w:rPr>
          <w:rFonts w:hint="eastAsia"/>
          <w:kern w:val="0"/>
          <w:szCs w:val="32"/>
        </w:rPr>
        <w:t>资格审查</w:t>
      </w:r>
      <w:r>
        <w:rPr>
          <w:kern w:val="0"/>
          <w:szCs w:val="32"/>
        </w:rPr>
        <w:t>过程和</w:t>
      </w:r>
      <w:r>
        <w:rPr>
          <w:rFonts w:hint="eastAsia"/>
          <w:kern w:val="0"/>
          <w:szCs w:val="32"/>
        </w:rPr>
        <w:t>资格审查</w:t>
      </w:r>
      <w:r>
        <w:rPr>
          <w:kern w:val="0"/>
          <w:szCs w:val="32"/>
        </w:rPr>
        <w:t>结果使自己的合法权益受到损害的，可以在知道或者应知其权益受到损害之日起七个工作日内，将质疑文件原件送达采购人或采购代理机构。</w:t>
      </w:r>
    </w:p>
    <w:p>
      <w:pPr>
        <w:shd w:val="clear" w:color="auto" w:fill="FFFFFF"/>
        <w:overflowPunct/>
        <w:adjustRightInd/>
        <w:snapToGrid/>
        <w:spacing w:line="560" w:lineRule="exact"/>
        <w:ind w:firstLine="640"/>
        <w:rPr>
          <w:kern w:val="0"/>
          <w:szCs w:val="32"/>
        </w:rPr>
      </w:pPr>
      <w:r>
        <w:rPr>
          <w:kern w:val="0"/>
          <w:szCs w:val="32"/>
        </w:rPr>
        <w:t>投标人应知其权益受到损害之日，是指：对</w:t>
      </w:r>
      <w:r>
        <w:rPr>
          <w:rFonts w:hint="eastAsia"/>
          <w:kern w:val="0"/>
          <w:szCs w:val="32"/>
        </w:rPr>
        <w:t>资格审查</w:t>
      </w:r>
      <w:r>
        <w:rPr>
          <w:kern w:val="0"/>
          <w:szCs w:val="32"/>
        </w:rPr>
        <w:t>文件提出质疑的，应当在获取</w:t>
      </w:r>
      <w:r>
        <w:rPr>
          <w:rFonts w:hint="eastAsia"/>
          <w:szCs w:val="32"/>
        </w:rPr>
        <w:t>资格审查</w:t>
      </w:r>
      <w:r>
        <w:rPr>
          <w:szCs w:val="32"/>
        </w:rPr>
        <w:t>文件</w:t>
      </w:r>
      <w:r>
        <w:rPr>
          <w:kern w:val="0"/>
          <w:szCs w:val="32"/>
        </w:rPr>
        <w:t>或者</w:t>
      </w:r>
      <w:r>
        <w:rPr>
          <w:rFonts w:hint="eastAsia"/>
          <w:szCs w:val="32"/>
        </w:rPr>
        <w:t>资格审查</w:t>
      </w:r>
      <w:r>
        <w:rPr>
          <w:szCs w:val="32"/>
        </w:rPr>
        <w:t>文件</w:t>
      </w:r>
      <w:r>
        <w:rPr>
          <w:kern w:val="0"/>
          <w:szCs w:val="32"/>
        </w:rPr>
        <w:t>公告期限届满之日起7个工作日内提出；对</w:t>
      </w:r>
      <w:r>
        <w:rPr>
          <w:rFonts w:hint="eastAsia"/>
          <w:kern w:val="0"/>
          <w:szCs w:val="32"/>
        </w:rPr>
        <w:t>资格审查</w:t>
      </w:r>
      <w:r>
        <w:rPr>
          <w:kern w:val="0"/>
          <w:szCs w:val="32"/>
        </w:rPr>
        <w:t>过程提出质疑的，为各采购程序环节结束之日；对</w:t>
      </w:r>
      <w:r>
        <w:rPr>
          <w:rFonts w:hint="eastAsia"/>
          <w:kern w:val="0"/>
          <w:szCs w:val="32"/>
        </w:rPr>
        <w:t>资格审查</w:t>
      </w:r>
      <w:r>
        <w:rPr>
          <w:kern w:val="0"/>
          <w:szCs w:val="32"/>
        </w:rPr>
        <w:t>结果提出质疑的，为</w:t>
      </w:r>
      <w:r>
        <w:rPr>
          <w:rFonts w:hint="eastAsia"/>
          <w:kern w:val="0"/>
          <w:szCs w:val="32"/>
        </w:rPr>
        <w:t>资格审查</w:t>
      </w:r>
      <w:r>
        <w:rPr>
          <w:kern w:val="0"/>
          <w:szCs w:val="32"/>
        </w:rPr>
        <w:t>结果公告期限届满之日。</w:t>
      </w:r>
    </w:p>
    <w:p>
      <w:pPr>
        <w:shd w:val="clear" w:color="auto" w:fill="FFFFFF"/>
        <w:overflowPunct/>
        <w:adjustRightInd/>
        <w:snapToGrid/>
        <w:spacing w:line="560" w:lineRule="exact"/>
        <w:ind w:firstLine="640"/>
        <w:rPr>
          <w:kern w:val="0"/>
          <w:szCs w:val="32"/>
        </w:rPr>
      </w:pPr>
      <w:r>
        <w:rPr>
          <w:szCs w:val="32"/>
        </w:rPr>
        <w:t>投标人必须在法定质疑期内一次性提出针对同一采购程序环节的质疑。</w:t>
      </w:r>
    </w:p>
    <w:p>
      <w:pPr>
        <w:shd w:val="clear" w:color="auto" w:fill="FFFFFF"/>
        <w:overflowPunct/>
        <w:adjustRightInd/>
        <w:snapToGrid/>
        <w:spacing w:line="560" w:lineRule="exact"/>
        <w:ind w:firstLine="640"/>
        <w:rPr>
          <w:kern w:val="0"/>
          <w:szCs w:val="32"/>
          <w:u w:val="wave"/>
        </w:rPr>
      </w:pPr>
      <w:r>
        <w:rPr>
          <w:kern w:val="0"/>
          <w:szCs w:val="32"/>
          <w:u w:val="wave"/>
        </w:rPr>
        <w:t>24.4 投标人提出质疑可参照《政府采购质疑和投诉办法》的规定提交质疑函和必要的证明材料。质疑函应当包括下列内容：</w:t>
      </w:r>
    </w:p>
    <w:p>
      <w:pPr>
        <w:shd w:val="clear" w:color="auto" w:fill="FFFFFF"/>
        <w:overflowPunct/>
        <w:adjustRightInd/>
        <w:snapToGrid/>
        <w:spacing w:line="560" w:lineRule="exact"/>
        <w:ind w:firstLine="640"/>
        <w:rPr>
          <w:kern w:val="0"/>
          <w:szCs w:val="32"/>
          <w:u w:val="wave"/>
        </w:rPr>
      </w:pPr>
      <w:r>
        <w:rPr>
          <w:kern w:val="0"/>
          <w:szCs w:val="32"/>
          <w:u w:val="wave"/>
        </w:rPr>
        <w:t>（1）投标人的姓名或者名称、地址、邮编、联系人及联系电话；</w:t>
      </w:r>
    </w:p>
    <w:p>
      <w:pPr>
        <w:shd w:val="clear" w:color="auto" w:fill="FFFFFF"/>
        <w:overflowPunct/>
        <w:adjustRightInd/>
        <w:snapToGrid/>
        <w:spacing w:line="560" w:lineRule="exact"/>
        <w:ind w:firstLine="640"/>
        <w:rPr>
          <w:kern w:val="0"/>
          <w:szCs w:val="32"/>
          <w:u w:val="wave"/>
        </w:rPr>
      </w:pPr>
      <w:r>
        <w:rPr>
          <w:kern w:val="0"/>
          <w:szCs w:val="32"/>
          <w:u w:val="wave"/>
        </w:rPr>
        <w:t>（2）质疑项目的名称、编号；</w:t>
      </w:r>
    </w:p>
    <w:p>
      <w:pPr>
        <w:shd w:val="clear" w:color="auto" w:fill="FFFFFF"/>
        <w:overflowPunct/>
        <w:adjustRightInd/>
        <w:snapToGrid/>
        <w:spacing w:line="560" w:lineRule="exact"/>
        <w:ind w:firstLine="640"/>
        <w:rPr>
          <w:kern w:val="0"/>
          <w:szCs w:val="32"/>
          <w:u w:val="wave"/>
        </w:rPr>
      </w:pPr>
      <w:r>
        <w:rPr>
          <w:kern w:val="0"/>
          <w:szCs w:val="32"/>
          <w:u w:val="wave"/>
        </w:rPr>
        <w:t>（3）具体、明确的质疑事项和与质疑事项相关的请求（具体条款）；</w:t>
      </w:r>
    </w:p>
    <w:p>
      <w:pPr>
        <w:shd w:val="clear" w:color="auto" w:fill="FFFFFF"/>
        <w:overflowPunct/>
        <w:adjustRightInd/>
        <w:snapToGrid/>
        <w:spacing w:line="560" w:lineRule="exact"/>
        <w:ind w:firstLine="640"/>
        <w:rPr>
          <w:kern w:val="0"/>
          <w:szCs w:val="32"/>
          <w:u w:val="wave"/>
        </w:rPr>
      </w:pPr>
      <w:r>
        <w:rPr>
          <w:kern w:val="0"/>
          <w:szCs w:val="32"/>
          <w:u w:val="wave"/>
        </w:rPr>
        <w:t>（4）事实依据（具体条款）；</w:t>
      </w:r>
    </w:p>
    <w:p>
      <w:pPr>
        <w:shd w:val="clear" w:color="auto" w:fill="FFFFFF"/>
        <w:overflowPunct/>
        <w:adjustRightInd/>
        <w:snapToGrid/>
        <w:spacing w:line="560" w:lineRule="exact"/>
        <w:ind w:firstLine="640"/>
        <w:rPr>
          <w:kern w:val="0"/>
          <w:szCs w:val="32"/>
          <w:u w:val="wave"/>
        </w:rPr>
      </w:pPr>
      <w:r>
        <w:rPr>
          <w:kern w:val="0"/>
          <w:szCs w:val="32"/>
          <w:u w:val="wave"/>
        </w:rPr>
        <w:t>（5）必要的法律依据（具体条款）；</w:t>
      </w:r>
    </w:p>
    <w:p>
      <w:pPr>
        <w:shd w:val="clear" w:color="auto" w:fill="FFFFFF"/>
        <w:overflowPunct/>
        <w:adjustRightInd/>
        <w:snapToGrid/>
        <w:spacing w:line="560" w:lineRule="exact"/>
        <w:ind w:firstLine="640"/>
        <w:rPr>
          <w:kern w:val="0"/>
          <w:szCs w:val="32"/>
          <w:u w:val="wave"/>
        </w:rPr>
      </w:pPr>
      <w:r>
        <w:rPr>
          <w:kern w:val="0"/>
          <w:szCs w:val="32"/>
          <w:u w:val="wave"/>
        </w:rPr>
        <w:t>（6）提出质疑的日期。</w:t>
      </w:r>
    </w:p>
    <w:p>
      <w:pPr>
        <w:shd w:val="clear" w:color="auto" w:fill="FFFFFF"/>
        <w:overflowPunct/>
        <w:adjustRightInd/>
        <w:snapToGrid/>
        <w:spacing w:line="560" w:lineRule="exact"/>
        <w:ind w:firstLine="640"/>
        <w:rPr>
          <w:szCs w:val="32"/>
          <w:u w:val="wave"/>
        </w:rPr>
      </w:pPr>
      <w:r>
        <w:rPr>
          <w:szCs w:val="32"/>
          <w:u w:val="wave"/>
        </w:rPr>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pPr>
        <w:shd w:val="clear" w:color="auto" w:fill="FFFFFF"/>
        <w:overflowPunct/>
        <w:adjustRightInd/>
        <w:snapToGrid/>
        <w:spacing w:line="560" w:lineRule="exact"/>
        <w:ind w:firstLine="640"/>
        <w:rPr>
          <w:szCs w:val="32"/>
          <w:u w:val="wave"/>
        </w:rPr>
      </w:pPr>
      <w:r>
        <w:rPr>
          <w:szCs w:val="32"/>
          <w:u w:val="wave"/>
        </w:rPr>
        <w:t>质疑函应当使用中文。相关当事人提供外文书证或者外国语视听资料的，应当附有中文译本，由翻译机构盖章或者翻译人员签名。</w:t>
      </w:r>
    </w:p>
    <w:p>
      <w:pPr>
        <w:shd w:val="clear" w:color="auto" w:fill="FFFFFF"/>
        <w:overflowPunct/>
        <w:adjustRightInd/>
        <w:snapToGrid/>
        <w:spacing w:line="560" w:lineRule="exact"/>
        <w:ind w:firstLine="640"/>
        <w:rPr>
          <w:kern w:val="0"/>
          <w:szCs w:val="32"/>
        </w:rPr>
      </w:pPr>
      <w:r>
        <w:rPr>
          <w:kern w:val="0"/>
          <w:szCs w:val="32"/>
        </w:rPr>
        <w:t>24.5 质疑函应当现场提交至采购代理机构联系人处，提交时应出示有效身份证明。未按上述要求提交质疑函的，质疑不予受理。</w:t>
      </w:r>
    </w:p>
    <w:p>
      <w:pPr>
        <w:shd w:val="clear" w:color="auto" w:fill="FFFFFF"/>
        <w:overflowPunct/>
        <w:adjustRightInd/>
        <w:snapToGrid/>
        <w:spacing w:line="560" w:lineRule="exact"/>
        <w:ind w:firstLine="640"/>
        <w:rPr>
          <w:kern w:val="0"/>
          <w:szCs w:val="32"/>
        </w:rPr>
      </w:pPr>
      <w:r>
        <w:rPr>
          <w:kern w:val="0"/>
          <w:szCs w:val="32"/>
        </w:rPr>
        <w:t>24.6 投标人不得虚假质疑和恶意质疑，并对质疑内容的真实性承担责任。投标人或者其他利害关系人通过捏造事实、伪造证明材料等方式提出异议或投诉，阻碍招投标活动正常进行的，属于严重不良行为，代理机构将提请采购人将其列入不良行为记录名单，并依法予以处罚。</w:t>
      </w:r>
    </w:p>
    <w:p>
      <w:pPr>
        <w:shd w:val="clear" w:color="auto" w:fill="FFFFFF"/>
        <w:overflowPunct/>
        <w:adjustRightInd/>
        <w:snapToGrid/>
        <w:spacing w:line="560" w:lineRule="exact"/>
        <w:ind w:firstLine="640"/>
        <w:rPr>
          <w:kern w:val="0"/>
          <w:szCs w:val="32"/>
        </w:rPr>
      </w:pPr>
      <w:r>
        <w:rPr>
          <w:kern w:val="0"/>
          <w:szCs w:val="32"/>
        </w:rPr>
        <w:t>24.7采购代理机构在收到投标人的书面质疑后将及时组织调查核实，</w:t>
      </w:r>
      <w:r>
        <w:rPr>
          <w:kern w:val="0"/>
          <w:szCs w:val="32"/>
          <w:u w:val="wave"/>
        </w:rPr>
        <w:t>在</w:t>
      </w:r>
      <w:r>
        <w:rPr>
          <w:b/>
          <w:bCs/>
          <w:kern w:val="0"/>
          <w:szCs w:val="32"/>
          <w:u w:val="wave"/>
        </w:rPr>
        <w:t>七个工作日内</w:t>
      </w:r>
      <w:r>
        <w:rPr>
          <w:kern w:val="0"/>
          <w:szCs w:val="32"/>
          <w:u w:val="wave"/>
        </w:rPr>
        <w:t>作出答复</w:t>
      </w:r>
      <w:r>
        <w:rPr>
          <w:kern w:val="0"/>
          <w:szCs w:val="32"/>
        </w:rPr>
        <w:t>，并以书面或在网站公告形式通知质疑投标人和其他有关投标人，答复的内容不涉及商业秘密。</w:t>
      </w:r>
    </w:p>
    <w:p>
      <w:pPr>
        <w:overflowPunct/>
        <w:autoSpaceDE w:val="0"/>
        <w:autoSpaceDN w:val="0"/>
        <w:adjustRightInd/>
        <w:snapToGrid/>
        <w:spacing w:line="560" w:lineRule="exact"/>
        <w:ind w:firstLine="643"/>
        <w:rPr>
          <w:b/>
          <w:szCs w:val="32"/>
          <w:lang w:val="zh-CN"/>
        </w:rPr>
      </w:pPr>
      <w:r>
        <w:rPr>
          <w:b/>
          <w:szCs w:val="32"/>
          <w:lang w:val="zh-CN"/>
        </w:rPr>
        <w:t>2</w:t>
      </w:r>
      <w:r>
        <w:rPr>
          <w:b/>
          <w:szCs w:val="32"/>
        </w:rPr>
        <w:t>5</w:t>
      </w:r>
      <w:r>
        <w:rPr>
          <w:b/>
          <w:szCs w:val="32"/>
          <w:lang w:val="zh-CN"/>
        </w:rPr>
        <w:t>.投诉</w:t>
      </w:r>
    </w:p>
    <w:p>
      <w:pPr>
        <w:overflowPunct/>
        <w:autoSpaceDE w:val="0"/>
        <w:autoSpaceDN w:val="0"/>
        <w:adjustRightInd/>
        <w:snapToGrid/>
        <w:spacing w:line="560" w:lineRule="exact"/>
        <w:ind w:firstLine="640"/>
        <w:rPr>
          <w:szCs w:val="32"/>
          <w:lang w:val="zh-CN"/>
        </w:rPr>
      </w:pPr>
      <w:r>
        <w:rPr>
          <w:szCs w:val="32"/>
          <w:lang w:val="zh-CN"/>
        </w:rPr>
        <w:t>2</w:t>
      </w:r>
      <w:r>
        <w:rPr>
          <w:szCs w:val="32"/>
        </w:rPr>
        <w:t>5</w:t>
      </w:r>
      <w:r>
        <w:rPr>
          <w:szCs w:val="32"/>
          <w:lang w:val="zh-CN"/>
        </w:rPr>
        <w:t>.1 投标人对采购代理机构的答复不满意或者采购代理机构未在规定的时间内作出答复的，可以在答复期满后十五个工作日内向</w:t>
      </w:r>
      <w:r>
        <w:rPr>
          <w:szCs w:val="32"/>
          <w:u w:val="wave"/>
          <w:lang w:val="zh-CN"/>
        </w:rPr>
        <w:t>同级</w:t>
      </w:r>
      <w:r>
        <w:rPr>
          <w:szCs w:val="32"/>
          <w:u w:val="wave"/>
        </w:rPr>
        <w:t>教育</w:t>
      </w:r>
      <w:r>
        <w:rPr>
          <w:szCs w:val="32"/>
          <w:u w:val="wave"/>
          <w:lang w:val="zh-CN"/>
        </w:rPr>
        <w:t>部门投诉</w:t>
      </w:r>
      <w:r>
        <w:rPr>
          <w:szCs w:val="32"/>
          <w:lang w:val="zh-CN"/>
        </w:rPr>
        <w:t>。</w:t>
      </w:r>
    </w:p>
    <w:p>
      <w:pPr>
        <w:overflowPunct/>
        <w:autoSpaceDE w:val="0"/>
        <w:autoSpaceDN w:val="0"/>
        <w:adjustRightInd/>
        <w:snapToGrid/>
        <w:spacing w:line="560" w:lineRule="exact"/>
        <w:ind w:firstLine="640"/>
        <w:rPr>
          <w:szCs w:val="32"/>
          <w:lang w:val="zh-CN"/>
        </w:rPr>
      </w:pPr>
      <w:r>
        <w:rPr>
          <w:szCs w:val="32"/>
          <w:lang w:val="zh-CN"/>
        </w:rPr>
        <w:t>2</w:t>
      </w:r>
      <w:r>
        <w:rPr>
          <w:szCs w:val="32"/>
        </w:rPr>
        <w:t>5</w:t>
      </w:r>
      <w:r>
        <w:rPr>
          <w:szCs w:val="32"/>
          <w:lang w:val="zh-CN"/>
        </w:rPr>
        <w:t>.2 投标人投诉应当有明确的请求和必要的证明材料。投标人投诉的事项不得超出已质疑事项的范围。</w:t>
      </w:r>
    </w:p>
    <w:p>
      <w:pPr>
        <w:overflowPunct/>
        <w:autoSpaceDE w:val="0"/>
        <w:autoSpaceDN w:val="0"/>
        <w:adjustRightInd/>
        <w:snapToGrid/>
        <w:spacing w:line="560" w:lineRule="exact"/>
        <w:ind w:firstLine="640"/>
        <w:rPr>
          <w:szCs w:val="32"/>
          <w:lang w:val="zh-CN"/>
        </w:rPr>
      </w:pPr>
      <w:r>
        <w:rPr>
          <w:szCs w:val="32"/>
          <w:lang w:val="zh-CN"/>
        </w:rPr>
        <w:t>2</w:t>
      </w:r>
      <w:r>
        <w:rPr>
          <w:szCs w:val="32"/>
        </w:rPr>
        <w:t>5</w:t>
      </w:r>
      <w:r>
        <w:rPr>
          <w:szCs w:val="32"/>
          <w:lang w:val="zh-CN"/>
        </w:rPr>
        <w:t>.3 投诉人对</w:t>
      </w:r>
      <w:r>
        <w:rPr>
          <w:szCs w:val="32"/>
        </w:rPr>
        <w:t>教育</w:t>
      </w:r>
      <w:r>
        <w:rPr>
          <w:szCs w:val="32"/>
          <w:lang w:val="zh-CN"/>
        </w:rPr>
        <w:t>部门的投诉处理决定不服或者逾期未作处理的，可以依法申请行政复议或者向人民法院提起行政诉讼。</w:t>
      </w:r>
    </w:p>
    <w:p>
      <w:pPr>
        <w:overflowPunct/>
        <w:autoSpaceDE w:val="0"/>
        <w:autoSpaceDN w:val="0"/>
        <w:adjustRightInd/>
        <w:snapToGrid/>
        <w:spacing w:line="560" w:lineRule="exact"/>
        <w:ind w:firstLine="640"/>
        <w:rPr>
          <w:szCs w:val="32"/>
          <w:lang w:val="zh-CN"/>
        </w:rPr>
      </w:pPr>
      <w:r>
        <w:rPr>
          <w:szCs w:val="32"/>
          <w:lang w:val="zh-CN"/>
        </w:rPr>
        <w:t>2</w:t>
      </w:r>
      <w:r>
        <w:rPr>
          <w:szCs w:val="32"/>
        </w:rPr>
        <w:t>5</w:t>
      </w:r>
      <w:r>
        <w:rPr>
          <w:szCs w:val="32"/>
          <w:lang w:val="zh-CN"/>
        </w:rPr>
        <w:t>.4 投诉人在全国范围12个月内三次以上投诉查无实据的，由</w:t>
      </w:r>
      <w:r>
        <w:rPr>
          <w:rFonts w:hint="eastAsia"/>
          <w:szCs w:val="32"/>
        </w:rPr>
        <w:t>教育</w:t>
      </w:r>
      <w:r>
        <w:rPr>
          <w:szCs w:val="32"/>
          <w:lang w:val="zh-CN"/>
        </w:rPr>
        <w:t>部门列入不良</w:t>
      </w:r>
      <w:r>
        <w:rPr>
          <w:rFonts w:hint="eastAsia"/>
          <w:szCs w:val="32"/>
        </w:rPr>
        <w:t>市场主体</w:t>
      </w:r>
      <w:r>
        <w:rPr>
          <w:szCs w:val="32"/>
          <w:lang w:val="zh-CN"/>
        </w:rPr>
        <w:t>名单。</w:t>
      </w:r>
    </w:p>
    <w:p>
      <w:pPr>
        <w:overflowPunct/>
        <w:autoSpaceDE w:val="0"/>
        <w:autoSpaceDN w:val="0"/>
        <w:adjustRightInd/>
        <w:snapToGrid/>
        <w:spacing w:line="560" w:lineRule="exact"/>
        <w:ind w:firstLine="640"/>
        <w:rPr>
          <w:szCs w:val="32"/>
          <w:u w:val="wave"/>
          <w:lang w:val="zh-CN"/>
        </w:rPr>
      </w:pPr>
      <w:r>
        <w:rPr>
          <w:szCs w:val="32"/>
          <w:u w:val="wave"/>
          <w:lang w:val="zh-CN"/>
        </w:rPr>
        <w:t>2</w:t>
      </w:r>
      <w:r>
        <w:rPr>
          <w:szCs w:val="32"/>
          <w:u w:val="wave"/>
        </w:rPr>
        <w:t>5</w:t>
      </w:r>
      <w:r>
        <w:rPr>
          <w:szCs w:val="32"/>
          <w:u w:val="wave"/>
          <w:lang w:val="zh-CN"/>
        </w:rPr>
        <w:t>.5 投诉人有下列行为之一的，属于虚假、恶意投诉，由</w:t>
      </w:r>
      <w:r>
        <w:rPr>
          <w:szCs w:val="32"/>
          <w:u w:val="wave"/>
        </w:rPr>
        <w:t>所属</w:t>
      </w:r>
      <w:r>
        <w:rPr>
          <w:szCs w:val="32"/>
          <w:u w:val="wave"/>
          <w:lang w:val="zh-CN"/>
        </w:rPr>
        <w:t>设区市</w:t>
      </w:r>
      <w:r>
        <w:rPr>
          <w:szCs w:val="32"/>
          <w:u w:val="wave"/>
        </w:rPr>
        <w:t>或县（市、区）</w:t>
      </w:r>
      <w:r>
        <w:rPr>
          <w:rFonts w:hint="eastAsia"/>
          <w:szCs w:val="32"/>
          <w:u w:val="wave"/>
          <w:lang w:val="zh-CN"/>
        </w:rPr>
        <w:t>中小学食材招标工作组</w:t>
      </w:r>
      <w:r>
        <w:rPr>
          <w:szCs w:val="32"/>
          <w:u w:val="wave"/>
          <w:lang w:val="zh-CN"/>
        </w:rPr>
        <w:t>研究通过后</w:t>
      </w:r>
      <w:r>
        <w:rPr>
          <w:rFonts w:hint="eastAsia"/>
          <w:szCs w:val="32"/>
          <w:u w:val="wave"/>
        </w:rPr>
        <w:t>取消</w:t>
      </w:r>
      <w:r>
        <w:rPr>
          <w:szCs w:val="32"/>
          <w:u w:val="wave"/>
          <w:lang w:val="zh-CN"/>
        </w:rPr>
        <w:t>其在设区市或省域范围内</w:t>
      </w:r>
      <w:r>
        <w:rPr>
          <w:rFonts w:hint="eastAsia"/>
          <w:szCs w:val="32"/>
          <w:u w:val="wave"/>
          <w:lang w:val="zh-CN"/>
        </w:rPr>
        <w:t>学校</w:t>
      </w:r>
      <w:r>
        <w:rPr>
          <w:rFonts w:hint="eastAsia"/>
          <w:szCs w:val="32"/>
          <w:u w:val="wave"/>
        </w:rPr>
        <w:t>食材采购的投标资格</w:t>
      </w:r>
      <w:r>
        <w:rPr>
          <w:szCs w:val="32"/>
          <w:u w:val="wave"/>
          <w:lang w:val="zh-CN"/>
        </w:rPr>
        <w:t>。</w:t>
      </w:r>
    </w:p>
    <w:p>
      <w:pPr>
        <w:overflowPunct/>
        <w:autoSpaceDE w:val="0"/>
        <w:autoSpaceDN w:val="0"/>
        <w:adjustRightInd/>
        <w:snapToGrid/>
        <w:spacing w:line="560" w:lineRule="exact"/>
        <w:ind w:firstLine="640"/>
        <w:rPr>
          <w:szCs w:val="32"/>
          <w:u w:val="wave"/>
          <w:lang w:val="zh-CN"/>
        </w:rPr>
      </w:pPr>
      <w:r>
        <w:rPr>
          <w:szCs w:val="32"/>
          <w:u w:val="wave"/>
          <w:lang w:val="zh-CN"/>
        </w:rPr>
        <w:t>（1）捏造事实；</w:t>
      </w:r>
    </w:p>
    <w:p>
      <w:pPr>
        <w:overflowPunct/>
        <w:autoSpaceDE w:val="0"/>
        <w:autoSpaceDN w:val="0"/>
        <w:adjustRightInd/>
        <w:snapToGrid/>
        <w:spacing w:line="560" w:lineRule="exact"/>
        <w:ind w:firstLine="640"/>
        <w:rPr>
          <w:szCs w:val="32"/>
          <w:u w:val="wave"/>
          <w:lang w:val="zh-CN"/>
        </w:rPr>
      </w:pPr>
      <w:r>
        <w:rPr>
          <w:szCs w:val="32"/>
          <w:u w:val="wave"/>
          <w:lang w:val="zh-CN"/>
        </w:rPr>
        <w:t>（2）提供虚假材料；</w:t>
      </w:r>
    </w:p>
    <w:p>
      <w:pPr>
        <w:overflowPunct/>
        <w:autoSpaceDE w:val="0"/>
        <w:autoSpaceDN w:val="0"/>
        <w:adjustRightInd/>
        <w:snapToGrid/>
        <w:spacing w:line="560" w:lineRule="exact"/>
        <w:ind w:firstLine="640"/>
        <w:rPr>
          <w:szCs w:val="32"/>
          <w:u w:val="wave"/>
          <w:lang w:val="zh-CN"/>
        </w:rPr>
      </w:pPr>
      <w:r>
        <w:rPr>
          <w:szCs w:val="32"/>
          <w:u w:val="wave"/>
          <w:lang w:val="zh-CN"/>
        </w:rPr>
        <w:t>（3）以非法手段取得证明材料。证据来源的合法性存在明显疑问，投诉人无法证明其取得方式合法的，视为以非法手段取得证明材料。</w:t>
      </w:r>
    </w:p>
    <w:bookmarkEnd w:id="46"/>
    <w:bookmarkEnd w:id="47"/>
    <w:bookmarkEnd w:id="48"/>
    <w:p>
      <w:pPr>
        <w:overflowPunct/>
        <w:adjustRightInd/>
        <w:snapToGrid/>
        <w:spacing w:line="560" w:lineRule="exact"/>
        <w:ind w:firstLine="640"/>
        <w:rPr>
          <w:szCs w:val="32"/>
          <w:lang w:val="zh-CN"/>
        </w:rPr>
      </w:pPr>
      <w:r>
        <w:rPr>
          <w:szCs w:val="32"/>
          <w:lang w:val="zh-CN"/>
        </w:rPr>
        <w:br w:type="page"/>
      </w:r>
    </w:p>
    <w:p>
      <w:pPr>
        <w:keepNext/>
        <w:keepLines/>
        <w:numPr>
          <w:ilvl w:val="0"/>
          <w:numId w:val="3"/>
        </w:numPr>
        <w:overflowPunct/>
        <w:snapToGrid/>
        <w:spacing w:before="340" w:after="330" w:line="560" w:lineRule="exact"/>
        <w:ind w:firstLine="880"/>
        <w:jc w:val="center"/>
        <w:outlineLvl w:val="0"/>
        <w:rPr>
          <w:rFonts w:eastAsia="方正小标宋简体"/>
          <w:kern w:val="44"/>
          <w:sz w:val="44"/>
          <w:szCs w:val="44"/>
        </w:rPr>
      </w:pPr>
      <w:bookmarkStart w:id="49" w:name="_Toc19576"/>
      <w:r>
        <w:rPr>
          <w:rFonts w:eastAsia="方正小标宋简体"/>
          <w:kern w:val="44"/>
          <w:sz w:val="44"/>
          <w:szCs w:val="44"/>
        </w:rPr>
        <w:t>资格审查办法及</w:t>
      </w:r>
      <w:bookmarkEnd w:id="49"/>
      <w:r>
        <w:rPr>
          <w:rFonts w:eastAsia="方正小标宋简体"/>
          <w:kern w:val="44"/>
          <w:sz w:val="44"/>
          <w:szCs w:val="44"/>
        </w:rPr>
        <w:t>确定</w:t>
      </w:r>
      <w:r>
        <w:rPr>
          <w:rFonts w:hint="eastAsia" w:eastAsia="方正小标宋简体"/>
          <w:kern w:val="44"/>
          <w:sz w:val="44"/>
          <w:szCs w:val="44"/>
        </w:rPr>
        <w:t>资格审查</w:t>
      </w:r>
      <w:r>
        <w:rPr>
          <w:rFonts w:eastAsia="方正小标宋简体"/>
          <w:kern w:val="44"/>
          <w:sz w:val="44"/>
          <w:szCs w:val="44"/>
        </w:rPr>
        <w:t>通过的投标人</w:t>
      </w:r>
    </w:p>
    <w:p>
      <w:pPr>
        <w:overflowPunct/>
        <w:adjustRightInd/>
        <w:snapToGrid/>
        <w:spacing w:line="560" w:lineRule="exact"/>
        <w:ind w:firstLine="640"/>
        <w:rPr>
          <w:rFonts w:eastAsia="黑体"/>
          <w:szCs w:val="32"/>
        </w:rPr>
      </w:pPr>
      <w:r>
        <w:rPr>
          <w:rFonts w:eastAsia="黑体"/>
          <w:szCs w:val="32"/>
        </w:rPr>
        <w:t>一、</w:t>
      </w:r>
      <w:r>
        <w:rPr>
          <w:rFonts w:hint="eastAsia" w:eastAsia="黑体"/>
          <w:szCs w:val="32"/>
        </w:rPr>
        <w:t>资格审查</w:t>
      </w:r>
      <w:r>
        <w:rPr>
          <w:rFonts w:eastAsia="黑体"/>
          <w:szCs w:val="32"/>
        </w:rPr>
        <w:t>通过的投标人的评审方法</w:t>
      </w:r>
    </w:p>
    <w:p>
      <w:pPr>
        <w:overflowPunct/>
        <w:adjustRightInd/>
        <w:snapToGrid/>
        <w:spacing w:line="560" w:lineRule="exact"/>
        <w:ind w:firstLine="640"/>
        <w:rPr>
          <w:szCs w:val="32"/>
        </w:rPr>
      </w:pPr>
      <w:r>
        <w:rPr>
          <w:szCs w:val="32"/>
        </w:rPr>
        <w:t>1.本项目</w:t>
      </w:r>
      <w:r>
        <w:rPr>
          <w:rFonts w:hint="eastAsia"/>
          <w:szCs w:val="32"/>
        </w:rPr>
        <w:t>资格审查</w:t>
      </w:r>
      <w:r>
        <w:rPr>
          <w:szCs w:val="32"/>
        </w:rPr>
        <w:t>采用合格制，凡符合第一章投标人的</w:t>
      </w:r>
      <w:r>
        <w:rPr>
          <w:rFonts w:hint="eastAsia"/>
          <w:szCs w:val="32"/>
        </w:rPr>
        <w:t>资格审查</w:t>
      </w:r>
      <w:r>
        <w:rPr>
          <w:szCs w:val="32"/>
        </w:rPr>
        <w:t>要求</w:t>
      </w:r>
      <w:r>
        <w:rPr>
          <w:rFonts w:hint="eastAsia"/>
          <w:szCs w:val="32"/>
        </w:rPr>
        <w:t>且现场考察合格</w:t>
      </w:r>
      <w:r>
        <w:rPr>
          <w:szCs w:val="32"/>
        </w:rPr>
        <w:t>的投标人</w:t>
      </w:r>
      <w:r>
        <w:rPr>
          <w:rFonts w:hint="eastAsia"/>
          <w:szCs w:val="32"/>
        </w:rPr>
        <w:t>，则算作</w:t>
      </w:r>
      <w:r>
        <w:rPr>
          <w:szCs w:val="32"/>
        </w:rPr>
        <w:t>通过</w:t>
      </w:r>
      <w:r>
        <w:rPr>
          <w:rFonts w:hint="eastAsia"/>
          <w:szCs w:val="32"/>
        </w:rPr>
        <w:t>资格审查</w:t>
      </w:r>
      <w:r>
        <w:rPr>
          <w:szCs w:val="32"/>
        </w:rPr>
        <w:t>（具体详见第一章投标人的</w:t>
      </w:r>
      <w:r>
        <w:rPr>
          <w:rFonts w:hint="eastAsia"/>
          <w:szCs w:val="32"/>
        </w:rPr>
        <w:t>资格审查</w:t>
      </w:r>
      <w:r>
        <w:rPr>
          <w:szCs w:val="32"/>
        </w:rPr>
        <w:t>要求及本章各</w:t>
      </w:r>
      <w:r>
        <w:rPr>
          <w:rFonts w:hint="eastAsia"/>
          <w:szCs w:val="32"/>
        </w:rPr>
        <w:t>食材分组资格审查现场考察表</w:t>
      </w:r>
      <w:r>
        <w:rPr>
          <w:szCs w:val="32"/>
        </w:rPr>
        <w:t>）。符合条件的投标人将收到投标入围通知书，签订入围协议后为入围投标人，可参与下一阶段的食材招标。</w:t>
      </w:r>
    </w:p>
    <w:p>
      <w:pPr>
        <w:overflowPunct/>
        <w:adjustRightInd/>
        <w:snapToGrid/>
        <w:spacing w:line="560" w:lineRule="exact"/>
        <w:ind w:firstLine="640"/>
        <w:rPr>
          <w:szCs w:val="32"/>
        </w:rPr>
      </w:pPr>
      <w:r>
        <w:rPr>
          <w:szCs w:val="32"/>
          <w:u w:val="wave"/>
        </w:rPr>
        <w:t>2.对通过</w:t>
      </w:r>
      <w:r>
        <w:rPr>
          <w:rFonts w:hint="eastAsia"/>
          <w:szCs w:val="32"/>
          <w:u w:val="wave"/>
        </w:rPr>
        <w:t>资格审查</w:t>
      </w:r>
      <w:r>
        <w:rPr>
          <w:szCs w:val="32"/>
          <w:u w:val="wave"/>
        </w:rPr>
        <w:t>的投标人，采购人在</w:t>
      </w:r>
      <w:r>
        <w:rPr>
          <w:rFonts w:hint="eastAsia"/>
          <w:szCs w:val="32"/>
          <w:u w:val="wave"/>
        </w:rPr>
        <w:t>江苏省中小学阳光食堂信息化监管服务平台（以下简称“阳光食堂”平台）</w:t>
      </w:r>
      <w:r>
        <w:rPr>
          <w:szCs w:val="32"/>
          <w:u w:val="wave"/>
        </w:rPr>
        <w:t>为其创建供应商账号、核定</w:t>
      </w:r>
      <w:r>
        <w:rPr>
          <w:rFonts w:hint="eastAsia"/>
          <w:szCs w:val="32"/>
          <w:u w:val="wave"/>
        </w:rPr>
        <w:t>运输能力值</w:t>
      </w:r>
      <w:r>
        <w:rPr>
          <w:szCs w:val="32"/>
          <w:u w:val="wave"/>
        </w:rPr>
        <w:t>及资质信息，设置可供应的食材</w:t>
      </w:r>
      <w:r>
        <w:rPr>
          <w:rFonts w:hint="eastAsia"/>
          <w:szCs w:val="32"/>
          <w:u w:val="wave"/>
        </w:rPr>
        <w:t>种类</w:t>
      </w:r>
      <w:r>
        <w:rPr>
          <w:szCs w:val="32"/>
          <w:u w:val="wave"/>
        </w:rPr>
        <w:t>。</w:t>
      </w:r>
      <w:r>
        <w:rPr>
          <w:rFonts w:hint="eastAsia"/>
          <w:szCs w:val="32"/>
          <w:u w:val="wave"/>
        </w:rPr>
        <w:t>未通过资格审查的投标人，采购人出具相关意见并留存证据。</w:t>
      </w:r>
    </w:p>
    <w:p>
      <w:pPr>
        <w:overflowPunct/>
        <w:adjustRightInd/>
        <w:snapToGrid/>
        <w:spacing w:line="560" w:lineRule="exact"/>
        <w:ind w:firstLine="640"/>
        <w:rPr>
          <w:szCs w:val="32"/>
        </w:rPr>
      </w:pPr>
      <w:r>
        <w:rPr>
          <w:szCs w:val="32"/>
        </w:rPr>
        <w:t>3.提交</w:t>
      </w:r>
      <w:r>
        <w:rPr>
          <w:rFonts w:hint="eastAsia"/>
          <w:szCs w:val="32"/>
        </w:rPr>
        <w:t>资格审查</w:t>
      </w:r>
      <w:r>
        <w:rPr>
          <w:szCs w:val="32"/>
        </w:rPr>
        <w:t>文件截止时间后，采购人将组织</w:t>
      </w:r>
      <w:r>
        <w:rPr>
          <w:rFonts w:hint="eastAsia"/>
          <w:szCs w:val="32"/>
        </w:rPr>
        <w:t>资格审查</w:t>
      </w:r>
      <w:r>
        <w:rPr>
          <w:szCs w:val="32"/>
        </w:rPr>
        <w:t>工作组到</w:t>
      </w:r>
      <w:r>
        <w:rPr>
          <w:rFonts w:hint="eastAsia"/>
          <w:szCs w:val="32"/>
        </w:rPr>
        <w:t>符合</w:t>
      </w:r>
      <w:r>
        <w:rPr>
          <w:szCs w:val="32"/>
        </w:rPr>
        <w:t>资格</w:t>
      </w:r>
      <w:r>
        <w:rPr>
          <w:rFonts w:hint="eastAsia"/>
          <w:szCs w:val="32"/>
        </w:rPr>
        <w:t>审查要求</w:t>
      </w:r>
      <w:r>
        <w:rPr>
          <w:szCs w:val="32"/>
        </w:rPr>
        <w:t>的潜在投标人的实际固定经营场所、仓储场所进行</w:t>
      </w:r>
      <w:r>
        <w:rPr>
          <w:rFonts w:hint="eastAsia"/>
          <w:szCs w:val="32"/>
        </w:rPr>
        <w:t>现场考察</w:t>
      </w:r>
      <w:r>
        <w:rPr>
          <w:szCs w:val="32"/>
        </w:rPr>
        <w:t>（以资格文件中明确的地址为准），考察时间另行通知。为了综合评价投标人的服务能力，</w:t>
      </w:r>
      <w:r>
        <w:rPr>
          <w:rFonts w:hint="eastAsia"/>
          <w:szCs w:val="32"/>
        </w:rPr>
        <w:t>由资格审查工作组对其功能区域、环境管理、设备管理、仓储管理、配送等进行现场考察，作为资格审查的依据。投标人应无条件配合资格审查工作组，不得拒绝资格审查工作组为完成现场核查任务而提出的合理要求，否则视为资格审查不通过。</w:t>
      </w:r>
      <w:r>
        <w:rPr>
          <w:szCs w:val="32"/>
        </w:rPr>
        <w:t xml:space="preserve"> </w:t>
      </w:r>
    </w:p>
    <w:p>
      <w:pPr>
        <w:overflowPunct/>
        <w:adjustRightInd/>
        <w:snapToGrid/>
        <w:spacing w:line="560" w:lineRule="exact"/>
        <w:ind w:firstLine="640"/>
        <w:rPr>
          <w:szCs w:val="32"/>
          <w:u w:val="wave"/>
        </w:rPr>
      </w:pPr>
      <w:r>
        <w:rPr>
          <w:szCs w:val="32"/>
          <w:u w:val="wave"/>
        </w:rPr>
        <w:t>4.</w:t>
      </w:r>
      <w:r>
        <w:rPr>
          <w:rFonts w:hint="eastAsia"/>
          <w:szCs w:val="32"/>
          <w:u w:val="wave"/>
        </w:rPr>
        <w:t>资格审查现场考察</w:t>
      </w:r>
      <w:r>
        <w:rPr>
          <w:szCs w:val="32"/>
          <w:u w:val="wave"/>
        </w:rPr>
        <w:t>工作后，由</w:t>
      </w:r>
      <w:r>
        <w:rPr>
          <w:rFonts w:hint="eastAsia"/>
          <w:szCs w:val="32"/>
          <w:u w:val="wave"/>
        </w:rPr>
        <w:t>资格审查</w:t>
      </w:r>
      <w:r>
        <w:rPr>
          <w:szCs w:val="32"/>
          <w:u w:val="wave"/>
        </w:rPr>
        <w:t>工作组全体成员和投标人</w:t>
      </w:r>
      <w:r>
        <w:rPr>
          <w:rFonts w:hint="eastAsia"/>
          <w:szCs w:val="32"/>
          <w:u w:val="wave"/>
        </w:rPr>
        <w:t>现场</w:t>
      </w:r>
      <w:r>
        <w:rPr>
          <w:szCs w:val="32"/>
          <w:u w:val="wave"/>
        </w:rPr>
        <w:t>在《</w:t>
      </w:r>
      <w:r>
        <w:rPr>
          <w:rFonts w:hint="eastAsia"/>
          <w:szCs w:val="32"/>
          <w:u w:val="wave"/>
        </w:rPr>
        <w:t>资格审查现场考察表</w:t>
      </w:r>
      <w:r>
        <w:rPr>
          <w:szCs w:val="32"/>
          <w:u w:val="wave"/>
        </w:rPr>
        <w:t>》上签字确认。投标人如有疑问应现场提出并协商解决。投标人拒绝签字确认的，视为放弃投标。</w:t>
      </w:r>
    </w:p>
    <w:p>
      <w:pPr>
        <w:overflowPunct/>
        <w:adjustRightInd/>
        <w:snapToGrid/>
        <w:spacing w:line="560" w:lineRule="exact"/>
        <w:ind w:firstLine="640"/>
        <w:rPr>
          <w:b/>
          <w:bCs/>
          <w:szCs w:val="32"/>
          <w:u w:val="wave"/>
        </w:rPr>
      </w:pPr>
      <w:r>
        <w:rPr>
          <w:rFonts w:eastAsia="黑体"/>
          <w:szCs w:val="32"/>
          <w:u w:val="wave"/>
        </w:rPr>
        <w:t>二、招标环节入围投标人的参与方式和评分方法</w:t>
      </w:r>
    </w:p>
    <w:p>
      <w:pPr>
        <w:overflowPunct/>
        <w:adjustRightInd/>
        <w:snapToGrid/>
        <w:spacing w:line="560" w:lineRule="exact"/>
        <w:ind w:firstLine="640"/>
        <w:rPr>
          <w:szCs w:val="32"/>
          <w:u w:val="wave"/>
        </w:rPr>
      </w:pPr>
      <w:r>
        <w:rPr>
          <w:szCs w:val="32"/>
          <w:u w:val="wave"/>
        </w:rPr>
        <w:t>1.采购人根据采购周期对入围投标人发出招标公告或竞价通知，入围投标人获取招标文件，</w:t>
      </w:r>
      <w:r>
        <w:rPr>
          <w:rFonts w:hint="eastAsia"/>
          <w:szCs w:val="32"/>
          <w:u w:val="wave"/>
        </w:rPr>
        <w:t>根据可供应的食材大类参与相关食材分组的投标和竞价</w:t>
      </w:r>
      <w:r>
        <w:rPr>
          <w:szCs w:val="32"/>
          <w:u w:val="wave"/>
        </w:rPr>
        <w:t>。</w:t>
      </w:r>
    </w:p>
    <w:p>
      <w:pPr>
        <w:overflowPunct/>
        <w:adjustRightInd/>
        <w:snapToGrid/>
        <w:spacing w:line="560" w:lineRule="exact"/>
        <w:ind w:firstLine="640"/>
        <w:rPr>
          <w:szCs w:val="32"/>
          <w:u w:val="wave"/>
        </w:rPr>
      </w:pPr>
      <w:r>
        <w:rPr>
          <w:szCs w:val="32"/>
          <w:u w:val="wave"/>
        </w:rPr>
        <w:t>2.</w:t>
      </w:r>
      <w:r>
        <w:rPr>
          <w:rFonts w:hint="eastAsia"/>
          <w:szCs w:val="32"/>
          <w:u w:val="wave"/>
        </w:rPr>
        <w:t>食材分组XXX至食材分组XXX</w:t>
      </w:r>
      <w:r>
        <w:rPr>
          <w:szCs w:val="32"/>
          <w:u w:val="wave"/>
        </w:rPr>
        <w:t>为价格波动较小的食材，采用“</w:t>
      </w:r>
      <w:r>
        <w:rPr>
          <w:rFonts w:hint="eastAsia"/>
          <w:szCs w:val="32"/>
          <w:u w:val="wave"/>
        </w:rPr>
        <w:t>评标竞价</w:t>
      </w:r>
      <w:r>
        <w:rPr>
          <w:szCs w:val="32"/>
          <w:u w:val="wave"/>
        </w:rPr>
        <w:t>”方式招标。此环节</w:t>
      </w:r>
      <w:r>
        <w:rPr>
          <w:rFonts w:hint="eastAsia"/>
          <w:szCs w:val="32"/>
          <w:u w:val="wave"/>
        </w:rPr>
        <w:t>各标段</w:t>
      </w:r>
      <w:r>
        <w:rPr>
          <w:szCs w:val="32"/>
          <w:u w:val="wave"/>
        </w:rPr>
        <w:t>采用综合评分法，是指入围投标人</w:t>
      </w:r>
      <w:r>
        <w:rPr>
          <w:rFonts w:hint="eastAsia"/>
          <w:szCs w:val="32"/>
          <w:u w:val="wave"/>
        </w:rPr>
        <w:t>通过“阳光食堂”平台对供应范围内所有单品食材进行报价</w:t>
      </w:r>
      <w:r>
        <w:rPr>
          <w:rFonts w:hint="eastAsia" w:eastAsia="宋体"/>
          <w:szCs w:val="32"/>
          <w:u w:val="wave"/>
        </w:rPr>
        <w:t>，</w:t>
      </w:r>
      <w:r>
        <w:rPr>
          <w:szCs w:val="32"/>
          <w:u w:val="wave"/>
        </w:rPr>
        <w:t>并根据招标文件进行投标，投标文件满足招标文件全部实质性要求且按照评审因素的量化指标评审得分最高的第一名投标人为中标候选人的评标方法。</w:t>
      </w:r>
    </w:p>
    <w:p>
      <w:pPr>
        <w:overflowPunct/>
        <w:adjustRightInd/>
        <w:snapToGrid/>
        <w:spacing w:line="560" w:lineRule="exact"/>
        <w:ind w:firstLine="640"/>
        <w:rPr>
          <w:szCs w:val="32"/>
          <w:u w:val="wave"/>
        </w:rPr>
      </w:pPr>
      <w:r>
        <w:rPr>
          <w:szCs w:val="32"/>
          <w:u w:val="wave"/>
        </w:rPr>
        <w:t>3.</w:t>
      </w:r>
      <w:r>
        <w:rPr>
          <w:rFonts w:hint="eastAsia"/>
          <w:szCs w:val="32"/>
          <w:u w:val="wave"/>
        </w:rPr>
        <w:t>食材分组XXX至食材分组XXX</w:t>
      </w:r>
      <w:r>
        <w:rPr>
          <w:szCs w:val="32"/>
          <w:u w:val="wave"/>
        </w:rPr>
        <w:t>为价格波动较大的食材，采用“</w:t>
      </w:r>
      <w:r>
        <w:rPr>
          <w:rFonts w:hint="eastAsia"/>
          <w:szCs w:val="32"/>
          <w:u w:val="wave"/>
        </w:rPr>
        <w:t>实际竞价</w:t>
      </w:r>
      <w:r>
        <w:rPr>
          <w:szCs w:val="32"/>
          <w:u w:val="wave"/>
        </w:rPr>
        <w:t>”方式招标。此环节</w:t>
      </w:r>
      <w:r>
        <w:rPr>
          <w:rFonts w:hint="eastAsia"/>
          <w:szCs w:val="32"/>
          <w:u w:val="wave"/>
        </w:rPr>
        <w:t>各标段</w:t>
      </w:r>
      <w:r>
        <w:rPr>
          <w:szCs w:val="32"/>
          <w:u w:val="wave"/>
        </w:rPr>
        <w:t>采用系统自动评分法，是指入围投标人按照招标文件中</w:t>
      </w:r>
      <w:r>
        <w:rPr>
          <w:rFonts w:hint="eastAsia"/>
          <w:szCs w:val="32"/>
          <w:u w:val="wave"/>
        </w:rPr>
        <w:t>明确的实际竞价</w:t>
      </w:r>
      <w:r>
        <w:rPr>
          <w:szCs w:val="32"/>
          <w:u w:val="wave"/>
        </w:rPr>
        <w:t>招标周期，通过</w:t>
      </w:r>
      <w:r>
        <w:rPr>
          <w:rFonts w:hint="eastAsia"/>
          <w:szCs w:val="32"/>
          <w:u w:val="wave"/>
        </w:rPr>
        <w:t>“阳光食堂”平台对供应范围内所有单品食材进行报价</w:t>
      </w:r>
      <w:r>
        <w:rPr>
          <w:szCs w:val="32"/>
          <w:u w:val="wave"/>
        </w:rPr>
        <w:t>，</w:t>
      </w:r>
      <w:r>
        <w:rPr>
          <w:rFonts w:hint="eastAsia"/>
          <w:szCs w:val="32"/>
          <w:u w:val="wave"/>
        </w:rPr>
        <w:t>“阳光食堂”平台</w:t>
      </w:r>
      <w:r>
        <w:rPr>
          <w:szCs w:val="32"/>
          <w:u w:val="wave"/>
        </w:rPr>
        <w:t>根据技术指标自动评分，得分最高的第一名投标人为中标候选人的评分办法。</w:t>
      </w:r>
    </w:p>
    <w:p>
      <w:pPr>
        <w:overflowPunct/>
        <w:adjustRightInd/>
        <w:snapToGrid/>
        <w:spacing w:line="560" w:lineRule="exact"/>
        <w:ind w:firstLine="640"/>
        <w:rPr>
          <w:szCs w:val="32"/>
          <w:u w:val="wave"/>
        </w:rPr>
      </w:pPr>
      <w:r>
        <w:rPr>
          <w:szCs w:val="32"/>
          <w:u w:val="wave"/>
        </w:rPr>
        <w:t>4.采购人原则上不得从入围投标人以外采购服务。如入围投标人不能满足需求，可按照单位内部控制制度自行采购。</w:t>
      </w:r>
    </w:p>
    <w:p>
      <w:pPr>
        <w:overflowPunct/>
        <w:adjustRightInd/>
        <w:snapToGrid/>
        <w:spacing w:line="560" w:lineRule="exact"/>
        <w:ind w:firstLine="0" w:firstLineChars="0"/>
        <w:jc w:val="left"/>
        <w:rPr>
          <w:b/>
          <w:bCs/>
          <w:szCs w:val="32"/>
        </w:rPr>
      </w:pPr>
      <w:r>
        <w:rPr>
          <w:b/>
          <w:bCs/>
          <w:szCs w:val="32"/>
        </w:rPr>
        <w:br w:type="page"/>
      </w:r>
    </w:p>
    <w:p>
      <w:pPr>
        <w:overflowPunct/>
        <w:adjustRightInd/>
        <w:snapToGrid/>
        <w:spacing w:line="560" w:lineRule="exact"/>
        <w:ind w:firstLine="0" w:firstLineChars="0"/>
        <w:jc w:val="center"/>
        <w:rPr>
          <w:rFonts w:eastAsia="方正小标宋简体"/>
          <w:sz w:val="44"/>
          <w:szCs w:val="44"/>
        </w:rPr>
      </w:pPr>
      <w:r>
        <w:rPr>
          <w:rFonts w:hint="eastAsia" w:eastAsia="方正小标宋简体"/>
          <w:sz w:val="44"/>
          <w:szCs w:val="44"/>
        </w:rPr>
        <w:t>资格审查现场考察</w:t>
      </w:r>
      <w:r>
        <w:rPr>
          <w:rFonts w:eastAsia="方正小标宋简体"/>
          <w:sz w:val="44"/>
          <w:szCs w:val="44"/>
        </w:rPr>
        <w:t>表</w:t>
      </w:r>
    </w:p>
    <w:p>
      <w:pPr>
        <w:overflowPunct/>
        <w:adjustRightInd/>
        <w:snapToGrid/>
        <w:spacing w:line="560" w:lineRule="exact"/>
        <w:ind w:firstLine="0" w:firstLineChars="0"/>
        <w:rPr>
          <w:szCs w:val="32"/>
        </w:rPr>
      </w:pPr>
    </w:p>
    <w:p>
      <w:pPr>
        <w:ind w:firstLine="0" w:firstLineChars="0"/>
        <w:rPr>
          <w:sz w:val="24"/>
        </w:rPr>
      </w:pPr>
      <w:r>
        <w:rPr>
          <w:rFonts w:hint="eastAsia"/>
          <w:sz w:val="24"/>
        </w:rPr>
        <w:t>食材分组XXX：XXX/XXX/XXX</w:t>
      </w:r>
      <w:r>
        <w:rPr>
          <w:rFonts w:hint="eastAsia"/>
          <w:sz w:val="28"/>
          <w:szCs w:val="28"/>
        </w:rPr>
        <w:t xml:space="preserve">              </w:t>
      </w:r>
      <w:r>
        <w:rPr>
          <w:rFonts w:hint="eastAsia"/>
          <w:sz w:val="24"/>
        </w:rPr>
        <w:t>投标供应商名称：</w:t>
      </w:r>
    </w:p>
    <w:tbl>
      <w:tblPr>
        <w:tblStyle w:val="23"/>
        <w:tblW w:w="5187" w:type="pct"/>
        <w:jc w:val="center"/>
        <w:tblLayout w:type="fixed"/>
        <w:tblCellMar>
          <w:top w:w="0" w:type="dxa"/>
          <w:left w:w="108" w:type="dxa"/>
          <w:bottom w:w="0" w:type="dxa"/>
          <w:right w:w="108" w:type="dxa"/>
        </w:tblCellMar>
      </w:tblPr>
      <w:tblGrid>
        <w:gridCol w:w="662"/>
        <w:gridCol w:w="2661"/>
        <w:gridCol w:w="2842"/>
        <w:gridCol w:w="1632"/>
        <w:gridCol w:w="1486"/>
      </w:tblGrid>
      <w:tr>
        <w:tblPrEx>
          <w:tblCellMar>
            <w:top w:w="0" w:type="dxa"/>
            <w:left w:w="108" w:type="dxa"/>
            <w:bottom w:w="0" w:type="dxa"/>
            <w:right w:w="108" w:type="dxa"/>
          </w:tblCellMar>
        </w:tblPrEx>
        <w:trPr>
          <w:trHeight w:val="568" w:hRule="atLeast"/>
          <w:tblHeader/>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rPr>
            </w:pPr>
            <w:r>
              <w:rPr>
                <w:rFonts w:hint="eastAsia" w:ascii="仿宋_GB2312" w:hAnsi="仿宋_GB2312" w:cs="仿宋_GB2312"/>
                <w:b/>
                <w:bCs/>
                <w:sz w:val="21"/>
                <w:szCs w:val="21"/>
                <w:lang w:bidi="ar"/>
              </w:rPr>
              <w:t>序号</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rPr>
            </w:pPr>
            <w:r>
              <w:rPr>
                <w:rFonts w:hint="eastAsia" w:ascii="仿宋_GB2312" w:hAnsi="仿宋_GB2312" w:cs="仿宋_GB2312"/>
                <w:b/>
                <w:bCs/>
                <w:sz w:val="21"/>
                <w:szCs w:val="21"/>
                <w:lang w:bidi="ar"/>
              </w:rPr>
              <w:t>投标人资格条件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rPr>
            </w:pPr>
            <w:r>
              <w:rPr>
                <w:rFonts w:hint="eastAsia" w:ascii="仿宋_GB2312" w:hAnsi="仿宋_GB2312" w:cs="仿宋_GB2312"/>
                <w:b/>
                <w:bCs/>
                <w:sz w:val="21"/>
                <w:szCs w:val="21"/>
                <w:lang w:bidi="ar"/>
              </w:rPr>
              <w:t>审查内容及方式</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lang w:bidi="ar"/>
              </w:rPr>
            </w:pPr>
            <w:r>
              <w:rPr>
                <w:rFonts w:hint="eastAsia" w:ascii="仿宋_GB2312" w:hAnsi="仿宋_GB2312" w:cs="仿宋_GB2312"/>
                <w:b/>
                <w:bCs/>
                <w:sz w:val="21"/>
                <w:szCs w:val="21"/>
                <w:lang w:bidi="ar"/>
              </w:rPr>
              <w:t>审查情况</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lang w:bidi="ar"/>
              </w:rPr>
            </w:pPr>
            <w:r>
              <w:rPr>
                <w:rFonts w:hint="eastAsia" w:ascii="仿宋_GB2312" w:hAnsi="仿宋_GB2312" w:cs="仿宋_GB2312"/>
                <w:b/>
                <w:bCs/>
                <w:sz w:val="21"/>
                <w:szCs w:val="21"/>
                <w:lang w:bidi="ar"/>
              </w:rPr>
              <w:t>适用食材大类</w:t>
            </w:r>
          </w:p>
        </w:tc>
      </w:tr>
      <w:tr>
        <w:tblPrEx>
          <w:tblCellMar>
            <w:top w:w="0" w:type="dxa"/>
            <w:left w:w="108" w:type="dxa"/>
            <w:bottom w:w="0" w:type="dxa"/>
            <w:right w:w="108" w:type="dxa"/>
          </w:tblCellMar>
        </w:tblPrEx>
        <w:trPr>
          <w:trHeight w:val="63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rPr>
            </w:pPr>
            <w:r>
              <w:rPr>
                <w:rFonts w:hint="eastAsia" w:ascii="仿宋_GB2312" w:hAnsi="仿宋_GB2312" w:cs="仿宋_GB2312"/>
                <w:sz w:val="21"/>
                <w:szCs w:val="21"/>
                <w:lang w:bidi="ar"/>
              </w:rPr>
              <w:t>1</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lang w:bidi="ar"/>
              </w:rPr>
              <w:t>投标人营业执照。</w:t>
            </w:r>
          </w:p>
        </w:tc>
        <w:tc>
          <w:tcPr>
            <w:tcW w:w="1531"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现场核查营业执照原件与投标人名称一致性</w:t>
            </w:r>
          </w:p>
        </w:tc>
        <w:tc>
          <w:tcPr>
            <w:tcW w:w="87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left="420" w:hanging="420" w:hangingChars="200"/>
              <w:rPr>
                <w:rFonts w:ascii="仿宋_GB2312" w:hAnsi="仿宋_GB2312" w:cs="仿宋_GB2312"/>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63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rPr>
            </w:pPr>
            <w:r>
              <w:rPr>
                <w:rFonts w:hint="eastAsia" w:ascii="仿宋_GB2312" w:hAnsi="仿宋_GB2312" w:cs="仿宋_GB2312"/>
                <w:sz w:val="21"/>
                <w:szCs w:val="21"/>
                <w:lang w:bidi="ar"/>
              </w:rPr>
              <w:t>2</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法定代表人授权委托书。</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现场核查授权书原件及授权代表身份证原件</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left="420" w:hanging="420" w:hangingChars="200"/>
              <w:rPr>
                <w:rFonts w:ascii="仿宋_GB2312" w:hAnsi="仿宋_GB2312" w:cs="仿宋_GB2312"/>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63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3</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lang w:bidi="ar"/>
              </w:rPr>
              <w:t>《食品经营许可证》或市场监督管理部门的备案证明。</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lang w:bidi="ar"/>
              </w:rPr>
              <w:t>现场核查《食品经营许可证》或市场监督管理部门的备案证明</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rPr>
            </w:pPr>
            <w:r>
              <w:rPr>
                <w:rFonts w:hint="eastAsia" w:ascii="仿宋_GB2312" w:hAnsi="仿宋_GB2312" w:cs="仿宋_GB2312"/>
                <w:sz w:val="21"/>
                <w:szCs w:val="21"/>
                <w:lang w:bidi="ar"/>
              </w:rPr>
              <w:t>4</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实际固定经营场所。</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现场核查</w:t>
            </w:r>
            <w:r>
              <w:rPr>
                <w:rFonts w:hint="eastAsia" w:ascii="仿宋_GB2312" w:hAnsi="仿宋_GB2312" w:cs="仿宋_GB2312"/>
                <w:sz w:val="21"/>
                <w:szCs w:val="21"/>
                <w:lang w:eastAsia="zh" w:bidi="ar"/>
              </w:rPr>
              <w:t>相关产权证明</w:t>
            </w:r>
            <w:r>
              <w:rPr>
                <w:rFonts w:hint="eastAsia" w:ascii="仿宋_GB2312" w:hAnsi="仿宋_GB2312" w:cs="仿宋_GB2312"/>
                <w:sz w:val="21"/>
                <w:szCs w:val="21"/>
                <w:lang w:bidi="ar"/>
              </w:rPr>
              <w:t>原件或仍在合同期内的租赁协议原件及出租方相关产权证明原件等</w:t>
            </w:r>
            <w:r>
              <w:rPr>
                <w:rFonts w:hint="eastAsia" w:ascii="仿宋_GB2312" w:hAnsi="仿宋_GB2312" w:cs="仿宋_GB2312"/>
                <w:sz w:val="21"/>
                <w:szCs w:val="21"/>
                <w:lang w:eastAsia="zh" w:bidi="ar"/>
              </w:rPr>
              <w:t>。</w:t>
            </w:r>
            <w:r>
              <w:rPr>
                <w:rFonts w:hint="eastAsia" w:ascii="仿宋_GB2312" w:hAnsi="仿宋_GB2312" w:cs="仿宋_GB2312"/>
                <w:sz w:val="21"/>
                <w:szCs w:val="21"/>
                <w:lang w:bidi="ar"/>
              </w:rPr>
              <w:t>（自有产权证明的所有人必须为投标人）</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5</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实际固定经营场所距离XXX开车在XX时以内（注：以百度地图、高德地图等地图软件显示的时间为准）。</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□符合，开车所需时间：</w:t>
            </w:r>
            <w:r>
              <w:rPr>
                <w:rFonts w:hint="eastAsia" w:ascii="仿宋_GB2312" w:hAnsi="仿宋_GB2312" w:cs="仿宋_GB2312"/>
                <w:sz w:val="21"/>
                <w:szCs w:val="21"/>
                <w:u w:val="wave"/>
              </w:rPr>
              <w:t xml:space="preserve">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61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6</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经营场所XXX米（含）内无粉尘、垃圾、厕所等污染源。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7</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自有或租赁冷库面积不少于XXX平方米，冷库温度稳定，有温度记录仪。</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现场测量及现场核查相关产权证明原件或仍在合同期内的租赁协议原件及出租方相关产权证明原件等。（自有产权证明的所有人必须为投标人）</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 xml:space="preserve">□符合，实测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u w:val="wave"/>
              </w:rPr>
              <w:t xml:space="preserve">     </w:t>
            </w:r>
            <w:r>
              <w:rPr>
                <w:rFonts w:hint="eastAsia" w:ascii="仿宋_GB2312" w:hAnsi="仿宋_GB2312" w:cs="仿宋_GB2312"/>
                <w:sz w:val="21"/>
                <w:szCs w:val="21"/>
              </w:rPr>
              <w:t>平方米</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水果、蔬菜、豆/粮制品、禽肉蛋、牛羊肉、水产、猪肉、乳品、速冻食品</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8</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自有或租赁仓库面积不少于XX平方米。</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现场测量及现场核查相关产权证明原件或仍在合同期内的租赁协议原件及出租方相关产权证明原件等。（自有产权证明的所有人必须为投标人）</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 xml:space="preserve">□符合，实测   </w:t>
            </w:r>
          </w:p>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 xml:space="preserve">     平方米</w:t>
            </w:r>
          </w:p>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9</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kern w:val="0"/>
                <w:sz w:val="21"/>
                <w:szCs w:val="21"/>
              </w:rPr>
              <w:t>至少</w:t>
            </w:r>
            <w:r>
              <w:rPr>
                <w:kern w:val="0"/>
                <w:sz w:val="21"/>
                <w:szCs w:val="21"/>
              </w:rPr>
              <w:t>✕✕</w:t>
            </w:r>
            <w:r>
              <w:rPr>
                <w:rFonts w:hint="eastAsia"/>
                <w:kern w:val="0"/>
                <w:sz w:val="21"/>
                <w:szCs w:val="21"/>
              </w:rPr>
              <w:t>辆冷链运输厢式货车（冷藏0-4℃，冷冻-18℃以下），温度可实时监控。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sz w:val="21"/>
                <w:szCs w:val="21"/>
              </w:rPr>
              <w:t>现场核查。</w:t>
            </w:r>
            <w:r>
              <w:rPr>
                <w:rFonts w:hint="eastAsia"/>
                <w:sz w:val="21"/>
                <w:szCs w:val="21"/>
              </w:rPr>
              <w:t>核查</w:t>
            </w:r>
            <w:r>
              <w:rPr>
                <w:sz w:val="21"/>
                <w:szCs w:val="21"/>
              </w:rPr>
              <w:t>车辆行驶证及登记证</w:t>
            </w:r>
            <w:r>
              <w:rPr>
                <w:rFonts w:hint="eastAsia"/>
                <w:sz w:val="21"/>
                <w:szCs w:val="21"/>
              </w:rPr>
              <w:t>（</w:t>
            </w:r>
            <w:r>
              <w:rPr>
                <w:sz w:val="21"/>
                <w:szCs w:val="21"/>
              </w:rPr>
              <w:t>需登记在投标人名下</w:t>
            </w:r>
            <w:r>
              <w:rPr>
                <w:rFonts w:hint="eastAsia"/>
                <w:sz w:val="21"/>
                <w:szCs w:val="21"/>
              </w:rPr>
              <w:t>）</w:t>
            </w:r>
            <w:r>
              <w:rPr>
                <w:sz w:val="21"/>
                <w:szCs w:val="21"/>
              </w:rPr>
              <w:t>，GPS定位系统和车厢内部视频监控</w:t>
            </w:r>
            <w:r>
              <w:rPr>
                <w:rFonts w:hint="eastAsia"/>
                <w:sz w:val="21"/>
                <w:szCs w:val="21"/>
              </w:rPr>
              <w:t>。</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 xml:space="preserve">车辆总数：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总吨数：</w:t>
            </w:r>
            <w:r>
              <w:rPr>
                <w:rFonts w:hint="eastAsia" w:ascii="仿宋_GB2312" w:hAnsi="仿宋_GB2312" w:cs="仿宋_GB2312"/>
                <w:sz w:val="21"/>
                <w:szCs w:val="21"/>
                <w:u w:val="wave"/>
              </w:rPr>
              <w:t xml:space="preserve">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水果、蔬菜、豆/粮制品、禽肉蛋、猪肉、牛羊肉、水产、乳品、速冻食品</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10</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kern w:val="0"/>
                <w:sz w:val="21"/>
                <w:szCs w:val="21"/>
              </w:rPr>
              <w:t>至少XX辆厢式货车。</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sz w:val="21"/>
                <w:szCs w:val="21"/>
              </w:rPr>
              <w:t>现场核查，核查车辆行驶证及登记证（需登记在投标人名下）</w:t>
            </w:r>
            <w:r>
              <w:rPr>
                <w:rFonts w:hint="eastAsia"/>
                <w:sz w:val="21"/>
                <w:szCs w:val="21"/>
              </w:rPr>
              <w:t>，</w:t>
            </w:r>
            <w:r>
              <w:rPr>
                <w:sz w:val="21"/>
                <w:szCs w:val="21"/>
              </w:rPr>
              <w:t>GPS定位系统和车厢内部视频监控</w:t>
            </w:r>
            <w:r>
              <w:rPr>
                <w:rFonts w:hint="eastAsia"/>
                <w:sz w:val="21"/>
                <w:szCs w:val="21"/>
              </w:rPr>
              <w:t>。</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 xml:space="preserve">车辆总数：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总吨数：</w:t>
            </w:r>
            <w:r>
              <w:rPr>
                <w:rFonts w:hint="eastAsia" w:ascii="仿宋_GB2312" w:hAnsi="仿宋_GB2312" w:cs="仿宋_GB2312"/>
                <w:sz w:val="21"/>
                <w:szCs w:val="21"/>
                <w:u w:val="wave"/>
              </w:rPr>
              <w:t xml:space="preserve">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11</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农药残留检测报告或通过自检设备提供自检报告。</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12</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lang w:bidi="ar"/>
              </w:rPr>
              <w:t>具备分区域存储条件（如常温区、冷藏区)，具有水果保鲜能力，不同种类分开存放。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13</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rPr>
              <w:t>农残、重金属检测记录</w:t>
            </w:r>
            <w:r>
              <w:rPr>
                <w:rFonts w:hint="eastAsia"/>
                <w:kern w:val="0"/>
                <w:sz w:val="21"/>
                <w:szCs w:val="21"/>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rPr>
            </w:pPr>
            <w:r>
              <w:rPr>
                <w:rFonts w:hint="eastAsia"/>
                <w:kern w:val="0"/>
                <w:sz w:val="21"/>
                <w:szCs w:val="21"/>
              </w:rPr>
              <w:t>蔬菜</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14</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仓库划分收货、分拣、存储、打包等区域，仓库保持仓库干燥、通风和清洁，具有蔬菜保鲜能力</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rPr>
            </w:pPr>
            <w:r>
              <w:rPr>
                <w:rFonts w:hint="eastAsia"/>
                <w:kern w:val="0"/>
                <w:sz w:val="21"/>
                <w:szCs w:val="21"/>
              </w:rPr>
              <w:t>蔬菜</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15</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实际固定经营场所具有独立设置的肉类分割区</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16</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实际固定经营场所具有筐箱清洗消毒区</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17</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当日售卖肉类具有动物检疫合格证、肉品品质检验证</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18</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冷库温度稳定（冷冻-18℃以下，保鲜0-4℃），有温度记录仪</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水果、蔬菜、豆/粮制品、禽肉蛋、猪肉、牛羊肉、水产、乳品、速冻食品</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19</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加工车间清洁，有消毒设备</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20</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具有在售肉蛋产品从养殖到配送的全链条追溯信息，如批次号、生产日期。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21</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暂养池水质优、氧气供应充足</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水产</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22</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建立并执行进货查验记录制度，当日进货产品具有供应商提供的每批水产品的进货凭证（如发票、收据、送货单等）</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水产</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23</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有药残（如孔雀石绿）、微生物检测报告，符合水产品安全标准</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水产</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kern w:val="0"/>
                <w:sz w:val="21"/>
                <w:szCs w:val="21"/>
                <w:lang w:bidi="ar"/>
              </w:rPr>
            </w:pPr>
            <w:r>
              <w:rPr>
                <w:rFonts w:hint="eastAsia"/>
                <w:kern w:val="0"/>
                <w:sz w:val="21"/>
                <w:szCs w:val="21"/>
                <w:lang w:bidi="ar"/>
              </w:rPr>
              <w:t>24</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库存乳制品有乳蛋白、脂肪、微生物等检测报告</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乳品</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25</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检查库存商品包装密封、无破损，标签信息齐全（生产商、成分、保质期）</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26</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仓库干燥、通风，避免阳光直射；有防潮措施，设有防虫防鼠等措施</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27</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检查冻品是否无解冻迹象、无冰霜堆积，包装无破损</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速冻食品</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28</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实际固定经营场所的功能区域、环境管理、</w:t>
            </w:r>
            <w:r>
              <w:rPr>
                <w:rFonts w:hint="eastAsia" w:ascii="仿宋_GB2312" w:hAnsi="仿宋_GB2312" w:cs="仿宋_GB2312"/>
                <w:sz w:val="21"/>
                <w:szCs w:val="21"/>
              </w:rPr>
              <w:t>设备管理、仓储管理、配送能力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现场考察</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kern w:val="0"/>
                <w:sz w:val="21"/>
                <w:szCs w:val="21"/>
              </w:rPr>
            </w:pPr>
            <w:r>
              <w:rPr>
                <w:rFonts w:hint="eastAsia" w:ascii="仿宋_GB2312" w:hAnsi="仿宋_GB2312" w:cs="仿宋_GB2312"/>
                <w:sz w:val="21"/>
                <w:szCs w:val="21"/>
              </w:rPr>
              <w:t>□</w:t>
            </w:r>
            <w:r>
              <w:rPr>
                <w:rFonts w:hint="eastAsia"/>
                <w:kern w:val="0"/>
                <w:sz w:val="21"/>
                <w:szCs w:val="21"/>
              </w:rPr>
              <w:t>完备</w:t>
            </w:r>
          </w:p>
          <w:p>
            <w:pPr>
              <w:spacing w:line="240" w:lineRule="auto"/>
              <w:ind w:firstLine="0" w:firstLineChars="0"/>
              <w:jc w:val="left"/>
              <w:rPr>
                <w:kern w:val="0"/>
                <w:sz w:val="21"/>
                <w:szCs w:val="21"/>
              </w:rPr>
            </w:pPr>
            <w:r>
              <w:rPr>
                <w:rFonts w:hint="eastAsia" w:ascii="仿宋_GB2312" w:hAnsi="仿宋_GB2312" w:cs="仿宋_GB2312"/>
                <w:sz w:val="21"/>
                <w:szCs w:val="21"/>
              </w:rPr>
              <w:t>□</w:t>
            </w:r>
            <w:r>
              <w:rPr>
                <w:rFonts w:hint="eastAsia"/>
                <w:kern w:val="0"/>
                <w:sz w:val="21"/>
                <w:szCs w:val="21"/>
              </w:rPr>
              <w:t>较完备</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w:t>
            </w:r>
            <w:r>
              <w:rPr>
                <w:rFonts w:hint="eastAsia"/>
                <w:kern w:val="0"/>
                <w:sz w:val="21"/>
                <w:szCs w:val="21"/>
              </w:rPr>
              <w:t>不完备</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530"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textAlignment w:val="center"/>
              <w:rPr>
                <w:rFonts w:ascii="仿宋_GB2312" w:hAnsi="仿宋_GB2312" w:cs="仿宋_GB2312"/>
                <w:sz w:val="21"/>
                <w:szCs w:val="21"/>
                <w:lang w:bidi="ar"/>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rPr>
                <w:rFonts w:ascii="仿宋_GB2312" w:hAnsi="仿宋_GB2312" w:cs="仿宋_GB2312"/>
                <w:sz w:val="21"/>
                <w:szCs w:val="21"/>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rPr>
                <w:rFonts w:ascii="仿宋_GB2312" w:hAnsi="仿宋_GB2312" w:cs="仿宋_GB2312"/>
                <w:sz w:val="21"/>
                <w:szCs w:val="21"/>
              </w:rPr>
            </w:pPr>
          </w:p>
        </w:tc>
      </w:tr>
    </w:tbl>
    <w:p>
      <w:pPr>
        <w:spacing w:before="219" w:beforeLines="50" w:line="240" w:lineRule="auto"/>
        <w:ind w:firstLine="0" w:firstLineChars="0"/>
        <w:jc w:val="left"/>
        <w:rPr>
          <w:rFonts w:eastAsia="楷体"/>
          <w:sz w:val="21"/>
          <w:szCs w:val="21"/>
        </w:rPr>
      </w:pPr>
      <w:r>
        <w:rPr>
          <w:rFonts w:hint="eastAsia" w:eastAsia="楷体"/>
          <w:sz w:val="21"/>
          <w:szCs w:val="21"/>
        </w:rPr>
        <w:t>注：各地可根据实际增加或删减相关信息。</w:t>
      </w:r>
    </w:p>
    <w:p>
      <w:pPr>
        <w:rPr>
          <w:sz w:val="24"/>
          <w:u w:val="wavyHeavy"/>
        </w:rPr>
      </w:pPr>
      <w:r>
        <w:rPr>
          <w:rFonts w:hint="eastAsia" w:eastAsia="黑体"/>
          <w:sz w:val="21"/>
          <w:szCs w:val="21"/>
        </w:rPr>
        <w:t>资格审查小组全体成员签字：</w:t>
      </w:r>
      <w:r>
        <w:rPr>
          <w:rFonts w:eastAsia="黑体"/>
          <w:sz w:val="21"/>
          <w:szCs w:val="21"/>
        </w:rPr>
        <w:t xml:space="preserve">                          </w:t>
      </w:r>
      <w:r>
        <w:rPr>
          <w:rFonts w:hint="eastAsia" w:eastAsia="黑体"/>
          <w:sz w:val="21"/>
          <w:szCs w:val="21"/>
        </w:rPr>
        <w:t>投标人签字：</w:t>
      </w:r>
    </w:p>
    <w:p>
      <w:pPr>
        <w:overflowPunct/>
        <w:adjustRightInd/>
        <w:snapToGrid/>
        <w:spacing w:line="240" w:lineRule="auto"/>
        <w:ind w:firstLine="0" w:firstLineChars="0"/>
        <w:rPr>
          <w:rFonts w:eastAsia="黑体"/>
          <w:b/>
          <w:bCs/>
          <w:sz w:val="21"/>
          <w:szCs w:val="21"/>
        </w:rPr>
      </w:pPr>
      <w:r>
        <w:rPr>
          <w:rFonts w:eastAsia="黑体"/>
          <w:b/>
          <w:bCs/>
          <w:sz w:val="21"/>
          <w:szCs w:val="21"/>
        </w:rPr>
        <w:br w:type="page"/>
      </w:r>
    </w:p>
    <w:p>
      <w:pPr>
        <w:keepNext/>
        <w:keepLines/>
        <w:overflowPunct/>
        <w:snapToGrid/>
        <w:spacing w:before="340" w:after="330" w:line="560" w:lineRule="exact"/>
        <w:ind w:firstLine="0" w:firstLineChars="0"/>
        <w:jc w:val="center"/>
        <w:outlineLvl w:val="0"/>
        <w:rPr>
          <w:rFonts w:eastAsia="方正小标宋简体"/>
          <w:kern w:val="44"/>
          <w:sz w:val="44"/>
          <w:szCs w:val="44"/>
        </w:rPr>
      </w:pPr>
      <w:bookmarkStart w:id="50" w:name="_Toc14054"/>
      <w:r>
        <w:rPr>
          <w:rFonts w:eastAsia="方正小标宋简体"/>
          <w:kern w:val="44"/>
          <w:sz w:val="44"/>
          <w:szCs w:val="44"/>
        </w:rPr>
        <w:t xml:space="preserve">第四章 </w:t>
      </w:r>
      <w:bookmarkEnd w:id="24"/>
      <w:bookmarkStart w:id="51" w:name="_Toc8808"/>
      <w:bookmarkStart w:id="52" w:name="_Toc481057147"/>
      <w:r>
        <w:rPr>
          <w:rFonts w:eastAsia="方正小标宋简体"/>
          <w:kern w:val="44"/>
          <w:sz w:val="44"/>
          <w:szCs w:val="44"/>
        </w:rPr>
        <w:t>采购项目的内容和相关技术要求等</w:t>
      </w:r>
      <w:bookmarkEnd w:id="50"/>
    </w:p>
    <w:p>
      <w:pPr>
        <w:overflowPunct/>
        <w:adjustRightInd/>
        <w:snapToGrid/>
        <w:spacing w:line="560" w:lineRule="exact"/>
        <w:ind w:firstLine="640"/>
        <w:jc w:val="left"/>
        <w:rPr>
          <w:rFonts w:eastAsia="黑体"/>
          <w:kern w:val="44"/>
          <w:szCs w:val="32"/>
        </w:rPr>
      </w:pPr>
      <w:r>
        <w:rPr>
          <w:rFonts w:eastAsia="黑体"/>
          <w:kern w:val="44"/>
          <w:szCs w:val="32"/>
        </w:rPr>
        <w:t>一、项目名称</w:t>
      </w:r>
    </w:p>
    <w:p>
      <w:pPr>
        <w:shd w:val="clear" w:color="auto" w:fill="FFFFFF"/>
        <w:overflowPunct/>
        <w:adjustRightInd/>
        <w:snapToGrid/>
        <w:spacing w:line="560" w:lineRule="exact"/>
        <w:ind w:firstLine="640"/>
        <w:jc w:val="left"/>
        <w:rPr>
          <w:kern w:val="0"/>
          <w:szCs w:val="32"/>
        </w:rPr>
      </w:pPr>
      <w:r>
        <w:rPr>
          <w:kern w:val="0"/>
          <w:szCs w:val="32"/>
        </w:rPr>
        <w:t>XX地区</w:t>
      </w:r>
      <w:r>
        <w:rPr>
          <w:rFonts w:hint="eastAsia"/>
          <w:kern w:val="0"/>
          <w:szCs w:val="32"/>
        </w:rPr>
        <w:t>中小学食材采购项目</w:t>
      </w:r>
    </w:p>
    <w:p>
      <w:pPr>
        <w:shd w:val="clear" w:color="auto" w:fill="FFFFFF"/>
        <w:overflowPunct/>
        <w:adjustRightInd/>
        <w:snapToGrid/>
        <w:spacing w:line="560" w:lineRule="exact"/>
        <w:ind w:firstLine="640"/>
        <w:jc w:val="left"/>
        <w:rPr>
          <w:kern w:val="0"/>
          <w:szCs w:val="32"/>
        </w:rPr>
      </w:pPr>
    </w:p>
    <w:p>
      <w:pPr>
        <w:overflowPunct/>
        <w:adjustRightInd/>
        <w:snapToGrid/>
        <w:spacing w:line="560" w:lineRule="exact"/>
        <w:ind w:firstLine="640"/>
        <w:jc w:val="left"/>
        <w:rPr>
          <w:rFonts w:eastAsia="黑体"/>
          <w:kern w:val="44"/>
          <w:szCs w:val="32"/>
        </w:rPr>
      </w:pPr>
      <w:r>
        <w:rPr>
          <w:rFonts w:eastAsia="黑体"/>
          <w:kern w:val="44"/>
          <w:szCs w:val="32"/>
        </w:rPr>
        <w:t>二、相关要求</w:t>
      </w:r>
    </w:p>
    <w:p>
      <w:pPr>
        <w:shd w:val="clear" w:color="auto" w:fill="FFFFFF"/>
        <w:overflowPunct/>
        <w:adjustRightInd/>
        <w:snapToGrid/>
        <w:spacing w:line="560" w:lineRule="exact"/>
        <w:ind w:firstLine="640"/>
        <w:jc w:val="left"/>
        <w:rPr>
          <w:kern w:val="0"/>
          <w:szCs w:val="32"/>
        </w:rPr>
      </w:pPr>
      <w:r>
        <w:rPr>
          <w:kern w:val="0"/>
          <w:szCs w:val="32"/>
        </w:rPr>
        <w:t>1.食品必须符合国家的食品卫生标准、规格及包装要求；</w:t>
      </w:r>
    </w:p>
    <w:p>
      <w:pPr>
        <w:shd w:val="clear" w:color="auto" w:fill="FFFFFF"/>
        <w:overflowPunct/>
        <w:adjustRightInd/>
        <w:snapToGrid/>
        <w:spacing w:line="560" w:lineRule="exact"/>
        <w:ind w:firstLine="640"/>
        <w:jc w:val="left"/>
        <w:rPr>
          <w:kern w:val="0"/>
          <w:szCs w:val="32"/>
        </w:rPr>
      </w:pPr>
      <w:r>
        <w:rPr>
          <w:kern w:val="0"/>
          <w:szCs w:val="32"/>
        </w:rPr>
        <w:t>2.产品为供货当年近期生产的非转基因产品，中标后向采购人提供书面质量检测报告及标签；</w:t>
      </w:r>
    </w:p>
    <w:p>
      <w:pPr>
        <w:overflowPunct/>
        <w:adjustRightInd/>
        <w:snapToGrid/>
        <w:spacing w:line="560" w:lineRule="exact"/>
        <w:ind w:firstLine="640"/>
        <w:jc w:val="left"/>
        <w:rPr>
          <w:kern w:val="0"/>
          <w:szCs w:val="32"/>
        </w:rPr>
      </w:pPr>
      <w:r>
        <w:rPr>
          <w:kern w:val="0"/>
          <w:szCs w:val="32"/>
        </w:rPr>
        <w:t>3.中标人需严格遵守《中华人民共和国食品安全法》及其他相关法律法规有关规定，所提供物资应具有食品生产许可证编号或符合国家相关标准；</w:t>
      </w:r>
    </w:p>
    <w:p>
      <w:pPr>
        <w:shd w:val="clear" w:color="auto" w:fill="FFFFFF"/>
        <w:overflowPunct/>
        <w:adjustRightInd/>
        <w:snapToGrid/>
        <w:spacing w:line="560" w:lineRule="exact"/>
        <w:ind w:firstLine="640"/>
        <w:jc w:val="left"/>
        <w:rPr>
          <w:kern w:val="0"/>
          <w:szCs w:val="32"/>
        </w:rPr>
      </w:pPr>
      <w:r>
        <w:rPr>
          <w:kern w:val="0"/>
          <w:szCs w:val="32"/>
        </w:rPr>
        <w:t>4.能自觉遵守学校相关规章制度，服从校方管理。</w:t>
      </w:r>
    </w:p>
    <w:p>
      <w:pPr>
        <w:shd w:val="clear" w:color="auto" w:fill="FFFFFF"/>
        <w:overflowPunct/>
        <w:adjustRightInd/>
        <w:snapToGrid/>
        <w:spacing w:line="560" w:lineRule="exact"/>
        <w:ind w:firstLine="640"/>
        <w:jc w:val="left"/>
        <w:rPr>
          <w:kern w:val="0"/>
          <w:szCs w:val="32"/>
        </w:rPr>
      </w:pPr>
    </w:p>
    <w:p>
      <w:pPr>
        <w:overflowPunct/>
        <w:adjustRightInd/>
        <w:snapToGrid/>
        <w:spacing w:line="560" w:lineRule="exact"/>
        <w:ind w:firstLine="640"/>
        <w:jc w:val="left"/>
        <w:rPr>
          <w:rFonts w:eastAsia="黑体"/>
          <w:kern w:val="44"/>
          <w:szCs w:val="32"/>
        </w:rPr>
      </w:pPr>
      <w:r>
        <w:rPr>
          <w:rFonts w:eastAsia="黑体"/>
          <w:kern w:val="44"/>
          <w:szCs w:val="32"/>
        </w:rPr>
        <w:t>三、项目需求</w:t>
      </w:r>
    </w:p>
    <w:p>
      <w:p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食材分组</w:t>
      </w:r>
      <w:r>
        <w:rPr>
          <w:bCs/>
          <w:kern w:val="0"/>
          <w:szCs w:val="32"/>
          <w:u w:val="wave"/>
        </w:rPr>
        <w:t xml:space="preserve">一：XXXX/XXX/XXX预算金额：XXXX万元   </w:t>
      </w:r>
    </w:p>
    <w:p>
      <w:p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食材分组</w:t>
      </w:r>
      <w:r>
        <w:rPr>
          <w:bCs/>
          <w:kern w:val="0"/>
          <w:szCs w:val="32"/>
          <w:u w:val="wave"/>
        </w:rPr>
        <w:t xml:space="preserve">二：XXXX/XXX/XXX预算金额：XXXX万元   </w:t>
      </w:r>
    </w:p>
    <w:p>
      <w:p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食材分组</w:t>
      </w:r>
      <w:r>
        <w:rPr>
          <w:bCs/>
          <w:kern w:val="0"/>
          <w:szCs w:val="32"/>
          <w:u w:val="wave"/>
        </w:rPr>
        <w:t>三：XXXX/XXX/XXX预算金额：XXXX万元</w:t>
      </w:r>
    </w:p>
    <w:p>
      <w:pPr>
        <w:shd w:val="clear" w:color="auto" w:fill="FFFFFF"/>
        <w:overflowPunct/>
        <w:adjustRightInd/>
        <w:snapToGrid/>
        <w:spacing w:line="560" w:lineRule="exact"/>
        <w:ind w:firstLine="640"/>
        <w:jc w:val="left"/>
        <w:rPr>
          <w:bCs/>
          <w:kern w:val="0"/>
          <w:szCs w:val="32"/>
        </w:rPr>
      </w:pPr>
      <w:r>
        <w:rPr>
          <w:rFonts w:hint="eastAsia"/>
          <w:bCs/>
          <w:kern w:val="0"/>
          <w:szCs w:val="32"/>
          <w:u w:val="wave"/>
        </w:rPr>
        <w:t>食材分组</w:t>
      </w:r>
      <w:r>
        <w:rPr>
          <w:bCs/>
          <w:kern w:val="0"/>
          <w:szCs w:val="32"/>
          <w:u w:val="wave"/>
        </w:rPr>
        <w:t>四：</w:t>
      </w:r>
      <w:r>
        <w:rPr>
          <w:bCs/>
          <w:kern w:val="0"/>
          <w:szCs w:val="32"/>
        </w:rPr>
        <w:t>XXXX/XXX/XXX预算金额：XXXX万元</w:t>
      </w:r>
    </w:p>
    <w:p>
      <w:pPr>
        <w:shd w:val="clear" w:color="auto" w:fill="FFFFFF"/>
        <w:overflowPunct/>
        <w:adjustRightInd/>
        <w:snapToGrid/>
        <w:spacing w:line="560" w:lineRule="exact"/>
        <w:ind w:firstLine="640"/>
        <w:jc w:val="left"/>
        <w:rPr>
          <w:bCs/>
          <w:kern w:val="0"/>
          <w:szCs w:val="32"/>
        </w:rPr>
      </w:pPr>
      <w:r>
        <w:rPr>
          <w:bCs/>
          <w:kern w:val="0"/>
          <w:szCs w:val="32"/>
        </w:rPr>
        <w:t>.......</w:t>
      </w:r>
    </w:p>
    <w:p>
      <w:pPr>
        <w:numPr>
          <w:ilvl w:val="255"/>
          <w:numId w:val="0"/>
        </w:numPr>
        <w:shd w:val="clear" w:color="auto" w:fill="FFFFFF"/>
        <w:overflowPunct/>
        <w:adjustRightInd/>
        <w:snapToGrid/>
        <w:spacing w:line="560" w:lineRule="exact"/>
        <w:rPr>
          <w:rFonts w:eastAsia="黑体"/>
          <w:bCs/>
          <w:szCs w:val="32"/>
        </w:rPr>
      </w:pPr>
    </w:p>
    <w:p>
      <w:pPr>
        <w:shd w:val="clear" w:color="auto" w:fill="FFFFFF"/>
        <w:overflowPunct/>
        <w:adjustRightInd/>
        <w:snapToGrid/>
        <w:spacing w:line="560" w:lineRule="exact"/>
        <w:ind w:firstLine="640"/>
        <w:rPr>
          <w:rFonts w:eastAsia="黑体"/>
          <w:szCs w:val="32"/>
          <w:u w:val="wave"/>
        </w:rPr>
      </w:pPr>
      <w:r>
        <w:rPr>
          <w:rFonts w:eastAsia="黑体"/>
          <w:szCs w:val="32"/>
          <w:u w:val="wave"/>
        </w:rPr>
        <w:t>四、供货服务期限</w:t>
      </w:r>
    </w:p>
    <w:p>
      <w:pPr>
        <w:shd w:val="clear" w:color="auto" w:fill="FFFFFF"/>
        <w:overflowPunct/>
        <w:adjustRightInd/>
        <w:snapToGrid/>
        <w:spacing w:line="560" w:lineRule="exact"/>
        <w:ind w:firstLine="640"/>
        <w:rPr>
          <w:bCs/>
          <w:kern w:val="0"/>
          <w:szCs w:val="32"/>
          <w:u w:val="wave"/>
        </w:rPr>
      </w:pPr>
      <w:r>
        <w:rPr>
          <w:rFonts w:hint="eastAsia"/>
          <w:bCs/>
          <w:kern w:val="0"/>
          <w:szCs w:val="32"/>
          <w:u w:val="wave"/>
        </w:rPr>
        <w:t>食材分组XXX至食材分组XXX为</w:t>
      </w:r>
      <w:r>
        <w:rPr>
          <w:bCs/>
          <w:kern w:val="0"/>
          <w:szCs w:val="32"/>
          <w:u w:val="wave"/>
        </w:rPr>
        <w:t>：XXX。</w:t>
      </w:r>
    </w:p>
    <w:p>
      <w:pPr>
        <w:shd w:val="clear" w:color="auto" w:fill="FFFFFF"/>
        <w:overflowPunct/>
        <w:adjustRightInd/>
        <w:snapToGrid/>
        <w:spacing w:line="560" w:lineRule="exact"/>
        <w:ind w:firstLine="640"/>
        <w:rPr>
          <w:bCs/>
          <w:kern w:val="0"/>
          <w:szCs w:val="32"/>
          <w:u w:val="wave"/>
        </w:rPr>
      </w:pPr>
      <w:r>
        <w:rPr>
          <w:rFonts w:hint="eastAsia"/>
          <w:bCs/>
          <w:kern w:val="0"/>
          <w:szCs w:val="32"/>
          <w:u w:val="wave"/>
        </w:rPr>
        <w:t>食材分组XXX至食材分组XXX为</w:t>
      </w:r>
      <w:r>
        <w:rPr>
          <w:bCs/>
          <w:kern w:val="0"/>
          <w:szCs w:val="32"/>
          <w:u w:val="wave"/>
        </w:rPr>
        <w:t>：XXX。</w:t>
      </w:r>
    </w:p>
    <w:p>
      <w:pPr>
        <w:shd w:val="clear" w:color="auto" w:fill="FFFFFF"/>
        <w:overflowPunct/>
        <w:adjustRightInd/>
        <w:snapToGrid/>
        <w:spacing w:line="560" w:lineRule="exact"/>
        <w:ind w:firstLine="640"/>
        <w:rPr>
          <w:bCs/>
          <w:kern w:val="0"/>
          <w:szCs w:val="32"/>
          <w:u w:val="wave"/>
        </w:rPr>
      </w:pPr>
    </w:p>
    <w:p>
      <w:pPr>
        <w:overflowPunct/>
        <w:adjustRightInd/>
        <w:snapToGrid/>
        <w:spacing w:line="560" w:lineRule="exact"/>
        <w:ind w:firstLine="640"/>
        <w:jc w:val="left"/>
        <w:rPr>
          <w:rFonts w:eastAsia="黑体"/>
          <w:szCs w:val="32"/>
          <w:u w:val="wave"/>
        </w:rPr>
      </w:pPr>
      <w:r>
        <w:rPr>
          <w:rFonts w:eastAsia="黑体"/>
          <w:szCs w:val="32"/>
          <w:u w:val="wave"/>
        </w:rPr>
        <w:t>五、履约保证金</w:t>
      </w:r>
    </w:p>
    <w:p>
      <w:pPr>
        <w:overflowPunct/>
        <w:adjustRightInd/>
        <w:snapToGrid/>
        <w:spacing w:line="560" w:lineRule="exact"/>
        <w:ind w:firstLine="640"/>
        <w:jc w:val="left"/>
        <w:rPr>
          <w:szCs w:val="32"/>
        </w:rPr>
      </w:pPr>
      <w:r>
        <w:rPr>
          <w:szCs w:val="32"/>
        </w:rPr>
        <w:t>1.通过入围投标人应在通过</w:t>
      </w:r>
      <w:r>
        <w:rPr>
          <w:rFonts w:hint="eastAsia"/>
          <w:szCs w:val="32"/>
        </w:rPr>
        <w:t>资格审查</w:t>
      </w:r>
      <w:r>
        <w:rPr>
          <w:szCs w:val="32"/>
        </w:rPr>
        <w:t>后缴纳履约保证金。具体金额为</w:t>
      </w:r>
      <w:r>
        <w:rPr>
          <w:rFonts w:hint="eastAsia"/>
          <w:szCs w:val="32"/>
        </w:rPr>
        <w:t>食材分组一中各标段为XXX元，食材分组二中各标段为XXX元</w:t>
      </w:r>
      <w:r>
        <w:rPr>
          <w:szCs w:val="32"/>
        </w:rPr>
        <w:t>........。履约保证金须在</w:t>
      </w:r>
      <w:r>
        <w:rPr>
          <w:rFonts w:hint="eastAsia"/>
          <w:szCs w:val="32"/>
        </w:rPr>
        <w:t>资格审查</w:t>
      </w:r>
      <w:r>
        <w:rPr>
          <w:szCs w:val="32"/>
        </w:rPr>
        <w:t>结果公告发出之日起至第二阶段递交投标文件截止时间前汇入采购人</w:t>
      </w:r>
      <w:r>
        <w:rPr>
          <w:rFonts w:hint="eastAsia"/>
          <w:szCs w:val="32"/>
        </w:rPr>
        <w:t>指定账户</w:t>
      </w:r>
      <w:r>
        <w:rPr>
          <w:szCs w:val="32"/>
        </w:rPr>
        <w:t xml:space="preserve">，否则视为自动放弃后续投标资格。 </w:t>
      </w:r>
    </w:p>
    <w:p>
      <w:pPr>
        <w:overflowPunct/>
        <w:adjustRightInd/>
        <w:snapToGrid/>
        <w:spacing w:line="560" w:lineRule="exact"/>
        <w:ind w:firstLine="640"/>
        <w:jc w:val="left"/>
        <w:rPr>
          <w:szCs w:val="32"/>
        </w:rPr>
      </w:pPr>
      <w:r>
        <w:rPr>
          <w:szCs w:val="32"/>
        </w:rPr>
        <w:t>2.入围协议期满后，且在供货期内经采购人验收合格无质量、进度等问题的，采购人在验收合格后按合同约定退还未被扣除的履约保证金；对于未中标的投标人在入围协议到期后全额退还履约保证金。</w:t>
      </w:r>
    </w:p>
    <w:p>
      <w:pPr>
        <w:overflowPunct/>
        <w:adjustRightInd/>
        <w:snapToGrid/>
        <w:spacing w:line="560" w:lineRule="exact"/>
        <w:ind w:firstLine="640"/>
        <w:jc w:val="left"/>
        <w:rPr>
          <w:szCs w:val="32"/>
        </w:rPr>
      </w:pPr>
      <w:r>
        <w:rPr>
          <w:szCs w:val="32"/>
        </w:rPr>
        <w:t xml:space="preserve">3.发生以下情况的，履约保证金不予退还或部分退还： </w:t>
      </w:r>
    </w:p>
    <w:p>
      <w:pPr>
        <w:overflowPunct/>
        <w:adjustRightInd/>
        <w:snapToGrid/>
        <w:spacing w:line="560" w:lineRule="exact"/>
        <w:ind w:firstLine="640"/>
        <w:jc w:val="left"/>
        <w:rPr>
          <w:szCs w:val="32"/>
        </w:rPr>
      </w:pPr>
      <w:r>
        <w:rPr>
          <w:szCs w:val="32"/>
        </w:rPr>
        <w:t xml:space="preserve">（1）签订合同后，中标人不履行义务的，采购人有权全额扣除履约保证金，全额不予退还，同时采购人亦有权终止合同，中标人还须承担相应的法律赔偿责任。 </w:t>
      </w:r>
    </w:p>
    <w:p>
      <w:pPr>
        <w:overflowPunct/>
        <w:snapToGrid/>
        <w:spacing w:line="560" w:lineRule="exact"/>
        <w:ind w:firstLine="640"/>
        <w:rPr>
          <w:szCs w:val="32"/>
        </w:rPr>
      </w:pPr>
      <w:r>
        <w:rPr>
          <w:szCs w:val="32"/>
        </w:rPr>
        <w:t>（2）中标人在履约过程中发生违约行为，给采购人造成损失的，采购人有权依据合同中的约定在履约保证金中予以扣款，以弥补采购人经济损失，不足部分由中标人补齐。</w:t>
      </w:r>
    </w:p>
    <w:bookmarkEnd w:id="51"/>
    <w:bookmarkEnd w:id="52"/>
    <w:p>
      <w:pPr>
        <w:overflowPunct/>
        <w:adjustRightInd/>
        <w:snapToGrid/>
        <w:spacing w:line="560" w:lineRule="exact"/>
        <w:ind w:firstLine="643"/>
        <w:rPr>
          <w:szCs w:val="32"/>
        </w:rPr>
      </w:pPr>
      <w:bookmarkStart w:id="53" w:name="_Toc12929"/>
      <w:r>
        <w:rPr>
          <w:b/>
          <w:bCs/>
          <w:szCs w:val="32"/>
        </w:rPr>
        <w:t>（注：上述条款中履约保证金的缴纳金额、缴纳方式、退还规定可由各地根据实际情况确定。）</w:t>
      </w:r>
    </w:p>
    <w:p>
      <w:pPr>
        <w:keepNext/>
        <w:keepLines/>
        <w:pageBreakBefore/>
        <w:overflowPunct/>
        <w:adjustRightInd/>
        <w:snapToGrid/>
        <w:spacing w:before="340" w:after="330" w:line="560" w:lineRule="exact"/>
        <w:ind w:firstLine="0" w:firstLineChars="0"/>
        <w:jc w:val="center"/>
        <w:outlineLvl w:val="0"/>
        <w:rPr>
          <w:rFonts w:eastAsia="方正小标宋简体"/>
          <w:kern w:val="0"/>
          <w:sz w:val="44"/>
          <w:szCs w:val="44"/>
        </w:rPr>
      </w:pPr>
      <w:bookmarkStart w:id="54" w:name="_Toc17159"/>
      <w:r>
        <w:rPr>
          <w:rFonts w:eastAsia="方正小标宋简体"/>
          <w:kern w:val="44"/>
          <w:sz w:val="44"/>
          <w:szCs w:val="44"/>
        </w:rPr>
        <w:t xml:space="preserve">第五章 </w:t>
      </w:r>
      <w:r>
        <w:rPr>
          <w:rFonts w:eastAsia="方正小标宋简体"/>
          <w:kern w:val="0"/>
          <w:sz w:val="44"/>
          <w:szCs w:val="44"/>
        </w:rPr>
        <w:t>入围协议</w:t>
      </w:r>
      <w:bookmarkEnd w:id="54"/>
    </w:p>
    <w:p>
      <w:pPr>
        <w:overflowPunct/>
        <w:adjustRightInd/>
        <w:snapToGrid/>
        <w:spacing w:line="560" w:lineRule="exact"/>
        <w:ind w:firstLine="640"/>
        <w:rPr>
          <w:szCs w:val="32"/>
        </w:rPr>
      </w:pPr>
      <w:r>
        <w:rPr>
          <w:szCs w:val="32"/>
        </w:rPr>
        <w:t>甲方（买方）：✕✕✕✕✕</w:t>
      </w:r>
      <w:r>
        <w:rPr>
          <w:rFonts w:hint="eastAsia"/>
          <w:szCs w:val="32"/>
        </w:rPr>
        <w:t>学校</w:t>
      </w:r>
      <w:r>
        <w:rPr>
          <w:szCs w:val="32"/>
        </w:rPr>
        <w:t xml:space="preserve">                </w:t>
      </w:r>
    </w:p>
    <w:p>
      <w:pPr>
        <w:overflowPunct/>
        <w:adjustRightInd/>
        <w:snapToGrid/>
        <w:spacing w:line="560" w:lineRule="exact"/>
        <w:ind w:firstLine="640"/>
        <w:rPr>
          <w:szCs w:val="32"/>
        </w:rPr>
      </w:pPr>
      <w:r>
        <w:rPr>
          <w:szCs w:val="32"/>
        </w:rPr>
        <w:t xml:space="preserve">乙方（卖方）：✕✕✕✕✕✕✕公司                </w:t>
      </w:r>
    </w:p>
    <w:p>
      <w:pPr>
        <w:overflowPunct/>
        <w:adjustRightInd/>
        <w:snapToGrid/>
        <w:spacing w:line="560" w:lineRule="exact"/>
        <w:ind w:firstLine="0" w:firstLineChars="0"/>
        <w:rPr>
          <w:szCs w:val="32"/>
        </w:rPr>
      </w:pPr>
    </w:p>
    <w:p>
      <w:pPr>
        <w:overflowPunct/>
        <w:adjustRightInd/>
        <w:snapToGrid/>
        <w:spacing w:line="560" w:lineRule="exact"/>
        <w:ind w:firstLine="640"/>
        <w:rPr>
          <w:szCs w:val="32"/>
        </w:rPr>
      </w:pPr>
      <w:r>
        <w:rPr>
          <w:szCs w:val="32"/>
          <w:u w:val="wave"/>
        </w:rPr>
        <w:t>根据《中华人民共和国民法典》等相关法律法规规定，甲乙双方按照XXX县（市、区）地区</w:t>
      </w:r>
      <w:r>
        <w:rPr>
          <w:rFonts w:hint="eastAsia"/>
          <w:szCs w:val="32"/>
          <w:u w:val="wave"/>
        </w:rPr>
        <w:t>中小学食材采购项目</w:t>
      </w:r>
      <w:r>
        <w:rPr>
          <w:szCs w:val="32"/>
          <w:u w:val="wave"/>
        </w:rPr>
        <w:t>（项目编号：XXX）中</w:t>
      </w:r>
      <w:r>
        <w:rPr>
          <w:rFonts w:hint="eastAsia"/>
          <w:szCs w:val="32"/>
          <w:u w:val="wave"/>
        </w:rPr>
        <w:t>食材分组XXX/XXX/XXX.......</w:t>
      </w:r>
      <w:r>
        <w:rPr>
          <w:szCs w:val="32"/>
          <w:u w:val="wave"/>
        </w:rPr>
        <w:t>的</w:t>
      </w:r>
      <w:r>
        <w:rPr>
          <w:rFonts w:hint="eastAsia"/>
          <w:szCs w:val="32"/>
        </w:rPr>
        <w:t>资格审查</w:t>
      </w:r>
      <w:r>
        <w:rPr>
          <w:szCs w:val="32"/>
        </w:rPr>
        <w:t>结果</w:t>
      </w:r>
      <w:r>
        <w:rPr>
          <w:rFonts w:hint="eastAsia"/>
          <w:szCs w:val="32"/>
        </w:rPr>
        <w:t>签订</w:t>
      </w:r>
      <w:r>
        <w:rPr>
          <w:szCs w:val="32"/>
        </w:rPr>
        <w:t>本协议。</w:t>
      </w:r>
    </w:p>
    <w:p>
      <w:pPr>
        <w:overflowPunct/>
        <w:adjustRightInd/>
        <w:snapToGrid/>
        <w:spacing w:line="560" w:lineRule="exact"/>
        <w:ind w:firstLine="640"/>
        <w:rPr>
          <w:rFonts w:eastAsia="黑体"/>
          <w:szCs w:val="32"/>
          <w:u w:val="wave"/>
        </w:rPr>
      </w:pPr>
      <w:r>
        <w:rPr>
          <w:rFonts w:eastAsia="黑体"/>
          <w:szCs w:val="32"/>
          <w:u w:val="wave"/>
        </w:rPr>
        <w:t>一、组成本协议的文件</w:t>
      </w:r>
    </w:p>
    <w:p>
      <w:pPr>
        <w:overflowPunct/>
        <w:adjustRightInd/>
        <w:snapToGrid/>
        <w:spacing w:line="560" w:lineRule="exact"/>
        <w:ind w:firstLine="640"/>
        <w:rPr>
          <w:szCs w:val="32"/>
          <w:u w:val="wave"/>
        </w:rPr>
      </w:pPr>
      <w:r>
        <w:rPr>
          <w:szCs w:val="32"/>
          <w:u w:val="wave"/>
        </w:rPr>
        <w:t>下列文件是组成本协议不可分割的部分：</w:t>
      </w:r>
    </w:p>
    <w:p>
      <w:pPr>
        <w:overflowPunct/>
        <w:adjustRightInd/>
        <w:snapToGrid/>
        <w:spacing w:line="560" w:lineRule="exact"/>
        <w:ind w:firstLine="640"/>
        <w:rPr>
          <w:szCs w:val="32"/>
          <w:u w:val="wave"/>
        </w:rPr>
      </w:pPr>
      <w:r>
        <w:rPr>
          <w:szCs w:val="32"/>
          <w:u w:val="wave"/>
        </w:rPr>
        <w:t>1.XXXX县（市、区）地区</w:t>
      </w:r>
      <w:r>
        <w:rPr>
          <w:rFonts w:hint="eastAsia"/>
          <w:szCs w:val="32"/>
          <w:u w:val="wave"/>
        </w:rPr>
        <w:t>中小学食材采购项目</w:t>
      </w:r>
      <w:r>
        <w:rPr>
          <w:szCs w:val="32"/>
          <w:u w:val="wave"/>
        </w:rPr>
        <w:t>（项目编号：XXXX）</w:t>
      </w:r>
      <w:r>
        <w:rPr>
          <w:rFonts w:hint="eastAsia"/>
          <w:szCs w:val="32"/>
          <w:u w:val="wave"/>
        </w:rPr>
        <w:t>食材分组XXX/XXX/XXX.......</w:t>
      </w:r>
      <w:r>
        <w:rPr>
          <w:szCs w:val="32"/>
          <w:u w:val="wave"/>
        </w:rPr>
        <w:t>的</w:t>
      </w:r>
      <w:r>
        <w:rPr>
          <w:rFonts w:hint="eastAsia"/>
          <w:szCs w:val="32"/>
          <w:u w:val="wave"/>
        </w:rPr>
        <w:t>资格审查</w:t>
      </w:r>
      <w:r>
        <w:rPr>
          <w:szCs w:val="32"/>
          <w:u w:val="wave"/>
        </w:rPr>
        <w:t>文件；</w:t>
      </w:r>
    </w:p>
    <w:p>
      <w:pPr>
        <w:overflowPunct/>
        <w:adjustRightInd/>
        <w:snapToGrid/>
        <w:spacing w:line="560" w:lineRule="exact"/>
        <w:ind w:firstLine="640"/>
        <w:rPr>
          <w:szCs w:val="32"/>
          <w:u w:val="wave"/>
        </w:rPr>
      </w:pPr>
      <w:r>
        <w:rPr>
          <w:szCs w:val="32"/>
          <w:u w:val="wave"/>
        </w:rPr>
        <w:t>2.乙方提交的资格文件材料；</w:t>
      </w:r>
    </w:p>
    <w:p>
      <w:pPr>
        <w:overflowPunct/>
        <w:adjustRightInd/>
        <w:snapToGrid/>
        <w:spacing w:line="560" w:lineRule="exact"/>
        <w:ind w:firstLine="640"/>
        <w:rPr>
          <w:szCs w:val="32"/>
          <w:u w:val="wave"/>
        </w:rPr>
      </w:pPr>
      <w:r>
        <w:rPr>
          <w:szCs w:val="32"/>
          <w:u w:val="wave"/>
        </w:rPr>
        <w:t>3.乙方所作的相关书面澄清；</w:t>
      </w:r>
    </w:p>
    <w:p>
      <w:pPr>
        <w:overflowPunct/>
        <w:adjustRightInd/>
        <w:snapToGrid/>
        <w:spacing w:line="560" w:lineRule="exact"/>
        <w:ind w:firstLine="640"/>
        <w:rPr>
          <w:szCs w:val="32"/>
          <w:u w:val="wave"/>
        </w:rPr>
      </w:pPr>
      <w:r>
        <w:rPr>
          <w:szCs w:val="32"/>
          <w:u w:val="wave"/>
        </w:rPr>
        <w:t>4.入围通知书；</w:t>
      </w:r>
    </w:p>
    <w:p>
      <w:pPr>
        <w:overflowPunct/>
        <w:adjustRightInd/>
        <w:snapToGrid/>
        <w:spacing w:line="560" w:lineRule="exact"/>
        <w:ind w:firstLine="640"/>
        <w:rPr>
          <w:szCs w:val="32"/>
          <w:u w:val="wave"/>
        </w:rPr>
      </w:pPr>
      <w:r>
        <w:rPr>
          <w:szCs w:val="32"/>
          <w:u w:val="wave"/>
        </w:rPr>
        <w:t>5.甲乙双方商定的其他必要文件。</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二、协议</w:t>
      </w:r>
      <w:r>
        <w:rPr>
          <w:rFonts w:hint="eastAsia" w:eastAsia="黑体"/>
          <w:szCs w:val="32"/>
          <w:u w:val="wave"/>
        </w:rPr>
        <w:t>内容</w:t>
      </w:r>
    </w:p>
    <w:p>
      <w:pPr>
        <w:overflowPunct/>
        <w:adjustRightInd/>
        <w:snapToGrid/>
        <w:spacing w:line="560" w:lineRule="exact"/>
        <w:ind w:firstLine="640"/>
        <w:rPr>
          <w:szCs w:val="32"/>
          <w:u w:val="wave"/>
        </w:rPr>
      </w:pPr>
      <w:r>
        <w:rPr>
          <w:szCs w:val="32"/>
          <w:u w:val="wave"/>
        </w:rPr>
        <w:t>1.协议生效后，乙方在协议期内有资格根据甲方招标周期参与</w:t>
      </w:r>
      <w:r>
        <w:rPr>
          <w:rFonts w:hint="eastAsia"/>
          <w:szCs w:val="32"/>
          <w:u w:val="wave"/>
        </w:rPr>
        <w:t>评标竞价</w:t>
      </w:r>
      <w:r>
        <w:rPr>
          <w:szCs w:val="32"/>
          <w:u w:val="wave"/>
        </w:rPr>
        <w:t>或</w:t>
      </w:r>
      <w:r>
        <w:rPr>
          <w:rFonts w:hint="eastAsia"/>
          <w:szCs w:val="32"/>
          <w:u w:val="wave"/>
        </w:rPr>
        <w:t>实际竞价</w:t>
      </w:r>
      <w:r>
        <w:rPr>
          <w:szCs w:val="32"/>
          <w:u w:val="wave"/>
        </w:rPr>
        <w:t>方式开展的食材招标。</w:t>
      </w:r>
    </w:p>
    <w:p>
      <w:pPr>
        <w:overflowPunct/>
        <w:adjustRightInd/>
        <w:snapToGrid/>
        <w:spacing w:line="560" w:lineRule="exact"/>
        <w:ind w:firstLine="640"/>
        <w:rPr>
          <w:szCs w:val="32"/>
          <w:u w:val="wave"/>
        </w:rPr>
      </w:pPr>
      <w:r>
        <w:rPr>
          <w:szCs w:val="32"/>
          <w:u w:val="wave"/>
        </w:rPr>
        <w:t>2.除另有约定外均按照本协议内容执行，甲方所需的具体货物清单、质量标准要求均以甲方在阳光食堂网站发布的招标公告为准。</w:t>
      </w:r>
    </w:p>
    <w:p>
      <w:pPr>
        <w:overflowPunct/>
        <w:adjustRightInd/>
        <w:snapToGrid/>
        <w:spacing w:line="560" w:lineRule="exact"/>
        <w:ind w:firstLine="640"/>
        <w:rPr>
          <w:szCs w:val="32"/>
          <w:u w:val="wave"/>
        </w:rPr>
      </w:pPr>
      <w:r>
        <w:rPr>
          <w:szCs w:val="32"/>
          <w:u w:val="wave"/>
        </w:rPr>
        <w:t>3.乙方中标后应向甲方同时提供所供货物的以下服务：检验检测、退换货服务、质保期服务、超过质保期的后续相关服务等（如涉及）。</w:t>
      </w:r>
    </w:p>
    <w:p>
      <w:pPr>
        <w:overflowPunct/>
        <w:adjustRightInd/>
        <w:snapToGrid/>
        <w:spacing w:line="560" w:lineRule="exact"/>
        <w:ind w:firstLine="640"/>
        <w:rPr>
          <w:szCs w:val="32"/>
          <w:u w:val="wave"/>
        </w:rPr>
      </w:pPr>
      <w:r>
        <w:rPr>
          <w:szCs w:val="32"/>
          <w:u w:val="wave"/>
        </w:rPr>
        <w:t>4.供货范围应完全满足协议条款的全部规定和要求。</w:t>
      </w:r>
    </w:p>
    <w:p>
      <w:pPr>
        <w:overflowPunct/>
        <w:adjustRightInd/>
        <w:snapToGrid/>
        <w:spacing w:line="560" w:lineRule="exact"/>
        <w:ind w:firstLine="640"/>
        <w:rPr>
          <w:szCs w:val="32"/>
          <w:u w:val="wave"/>
        </w:rPr>
      </w:pPr>
      <w:r>
        <w:rPr>
          <w:szCs w:val="32"/>
          <w:u w:val="wave"/>
        </w:rPr>
        <w:t>5.在甲方依照协议规定履行其协议义务的条件下，乙方</w:t>
      </w:r>
      <w:r>
        <w:rPr>
          <w:rFonts w:hint="eastAsia"/>
          <w:szCs w:val="32"/>
          <w:u w:val="wave"/>
        </w:rPr>
        <w:t>应按</w:t>
      </w:r>
      <w:r>
        <w:rPr>
          <w:szCs w:val="32"/>
          <w:u w:val="wave"/>
        </w:rPr>
        <w:t>照协议</w:t>
      </w:r>
      <w:r>
        <w:rPr>
          <w:rFonts w:hint="eastAsia"/>
          <w:szCs w:val="32"/>
          <w:u w:val="wave"/>
        </w:rPr>
        <w:t>规定</w:t>
      </w:r>
      <w:r>
        <w:rPr>
          <w:szCs w:val="32"/>
          <w:u w:val="wave"/>
        </w:rPr>
        <w:t>履行其协议义务。</w:t>
      </w:r>
    </w:p>
    <w:p>
      <w:pPr>
        <w:overflowPunct/>
        <w:adjustRightInd/>
        <w:snapToGrid/>
        <w:spacing w:line="560" w:lineRule="exact"/>
        <w:ind w:firstLine="640"/>
        <w:rPr>
          <w:szCs w:val="32"/>
          <w:u w:val="wave"/>
        </w:rPr>
      </w:pPr>
      <w:r>
        <w:rPr>
          <w:szCs w:val="32"/>
          <w:u w:val="wave"/>
        </w:rPr>
        <w:t>6.乙方能接受甲方关于应急保供承诺，无条件配合</w:t>
      </w:r>
      <w:r>
        <w:rPr>
          <w:rFonts w:hint="eastAsia"/>
          <w:szCs w:val="32"/>
          <w:u w:val="wave"/>
          <w:lang w:eastAsia="zh-CN"/>
        </w:rPr>
        <w:t>甲方</w:t>
      </w:r>
      <w:r>
        <w:rPr>
          <w:szCs w:val="32"/>
          <w:u w:val="wave"/>
        </w:rPr>
        <w:t>配送服务。任何情况下，都以保证供应的正常进行为第一要义。</w:t>
      </w:r>
    </w:p>
    <w:p>
      <w:pPr>
        <w:overflowPunct/>
        <w:adjustRightInd/>
        <w:snapToGrid/>
        <w:spacing w:line="560" w:lineRule="exact"/>
        <w:ind w:firstLine="640"/>
        <w:rPr>
          <w:szCs w:val="32"/>
          <w:u w:val="wave"/>
        </w:rPr>
      </w:pPr>
      <w:r>
        <w:rPr>
          <w:szCs w:val="32"/>
          <w:u w:val="wave"/>
        </w:rPr>
        <w:t>7.乙方能接受甲方</w:t>
      </w:r>
      <w:r>
        <w:rPr>
          <w:rFonts w:hint="eastAsia"/>
          <w:szCs w:val="32"/>
          <w:u w:val="wave"/>
        </w:rPr>
        <w:t>的</w:t>
      </w:r>
      <w:r>
        <w:rPr>
          <w:szCs w:val="32"/>
          <w:u w:val="wave"/>
        </w:rPr>
        <w:t>食材供应相关的管理与考核，考核不合格取消供货资格。</w:t>
      </w:r>
    </w:p>
    <w:p>
      <w:pPr>
        <w:overflowPunct/>
        <w:adjustRightInd/>
        <w:snapToGrid/>
        <w:spacing w:line="560" w:lineRule="exact"/>
        <w:ind w:firstLine="640"/>
        <w:rPr>
          <w:szCs w:val="32"/>
          <w:u w:val="wave"/>
        </w:rPr>
      </w:pPr>
      <w:r>
        <w:rPr>
          <w:szCs w:val="32"/>
          <w:u w:val="wave"/>
        </w:rPr>
        <w:t>8.乙方能承担甲方因故提前终止供货协议有效期的风险。</w:t>
      </w:r>
    </w:p>
    <w:p>
      <w:pPr>
        <w:overflowPunct/>
        <w:adjustRightInd/>
        <w:snapToGrid/>
        <w:spacing w:line="560" w:lineRule="exact"/>
        <w:ind w:firstLine="640"/>
        <w:rPr>
          <w:szCs w:val="32"/>
          <w:u w:val="wave"/>
        </w:rPr>
      </w:pPr>
      <w:r>
        <w:rPr>
          <w:szCs w:val="32"/>
          <w:u w:val="wave"/>
        </w:rPr>
        <w:t>9.乙方接受甲方在供货协议有效期内就具体供货品类、数量和价格等在</w:t>
      </w:r>
      <w:r>
        <w:rPr>
          <w:rFonts w:hint="eastAsia"/>
          <w:szCs w:val="32"/>
          <w:u w:val="wave"/>
        </w:rPr>
        <w:t>“阳光食堂”平台</w:t>
      </w:r>
      <w:r>
        <w:rPr>
          <w:szCs w:val="32"/>
          <w:u w:val="wave"/>
        </w:rPr>
        <w:t>按规定开展</w:t>
      </w:r>
      <w:r>
        <w:rPr>
          <w:rFonts w:hint="eastAsia"/>
          <w:szCs w:val="32"/>
          <w:u w:val="wave"/>
        </w:rPr>
        <w:t>实际竞价</w:t>
      </w:r>
      <w:r>
        <w:rPr>
          <w:szCs w:val="32"/>
          <w:u w:val="wave"/>
        </w:rPr>
        <w:t>。</w:t>
      </w:r>
    </w:p>
    <w:p>
      <w:pPr>
        <w:overflowPunct/>
        <w:adjustRightInd/>
        <w:snapToGrid/>
        <w:spacing w:line="560" w:lineRule="exact"/>
        <w:ind w:firstLine="640"/>
        <w:rPr>
          <w:szCs w:val="32"/>
          <w:u w:val="wave"/>
        </w:rPr>
      </w:pPr>
      <w:r>
        <w:rPr>
          <w:szCs w:val="32"/>
          <w:u w:val="wave"/>
        </w:rPr>
        <w:t>10.乙方如不参加</w:t>
      </w:r>
      <w:r>
        <w:rPr>
          <w:rFonts w:hint="eastAsia"/>
          <w:szCs w:val="32"/>
          <w:u w:val="wave"/>
        </w:rPr>
        <w:t>实际竞价</w:t>
      </w:r>
      <w:r>
        <w:rPr>
          <w:szCs w:val="32"/>
          <w:u w:val="wave"/>
        </w:rPr>
        <w:t>或报价无效的，按规定扣减其服务分值，如果出现三次上述情况，由甲方直接取消乙方供货资格。</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三、</w:t>
      </w:r>
      <w:r>
        <w:rPr>
          <w:rFonts w:hint="eastAsia" w:eastAsia="黑体"/>
          <w:szCs w:val="32"/>
          <w:u w:val="wave"/>
        </w:rPr>
        <w:t>供货</w:t>
      </w:r>
      <w:r>
        <w:rPr>
          <w:rFonts w:eastAsia="黑体"/>
          <w:szCs w:val="32"/>
          <w:u w:val="wave"/>
        </w:rPr>
        <w:t>价格</w:t>
      </w:r>
    </w:p>
    <w:p>
      <w:pPr>
        <w:overflowPunct/>
        <w:adjustRightInd/>
        <w:snapToGrid/>
        <w:spacing w:line="560" w:lineRule="exact"/>
        <w:ind w:firstLine="640"/>
        <w:rPr>
          <w:szCs w:val="32"/>
        </w:rPr>
      </w:pPr>
      <w:r>
        <w:rPr>
          <w:szCs w:val="32"/>
        </w:rPr>
        <w:t>1.根据招标结果单品食材价格以中标人报价为准。</w:t>
      </w:r>
    </w:p>
    <w:p>
      <w:pPr>
        <w:overflowPunct/>
        <w:adjustRightInd/>
        <w:snapToGrid/>
        <w:spacing w:line="560" w:lineRule="exact"/>
        <w:ind w:firstLine="640"/>
        <w:rPr>
          <w:szCs w:val="32"/>
        </w:rPr>
      </w:pPr>
      <w:r>
        <w:rPr>
          <w:szCs w:val="32"/>
        </w:rPr>
        <w:t>2.招标结束后，中标人与所中标段内所有</w:t>
      </w:r>
      <w:r>
        <w:rPr>
          <w:rFonts w:hint="eastAsia"/>
          <w:szCs w:val="32"/>
        </w:rPr>
        <w:t>学校</w:t>
      </w:r>
      <w:r>
        <w:rPr>
          <w:szCs w:val="32"/>
        </w:rPr>
        <w:t>逐一签订《供货合同》，明确食材的供货品类、质量等级、单品价格等。</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四、</w:t>
      </w:r>
      <w:r>
        <w:rPr>
          <w:rFonts w:hint="eastAsia" w:eastAsia="黑体"/>
          <w:szCs w:val="32"/>
          <w:u w:val="wave"/>
        </w:rPr>
        <w:t>履约保证金</w:t>
      </w:r>
    </w:p>
    <w:p>
      <w:pPr>
        <w:overflowPunct/>
        <w:adjustRightInd/>
        <w:snapToGrid/>
        <w:spacing w:line="560" w:lineRule="exact"/>
        <w:ind w:firstLine="640"/>
        <w:rPr>
          <w:szCs w:val="32"/>
        </w:rPr>
      </w:pPr>
      <w:r>
        <w:rPr>
          <w:rFonts w:hint="eastAsia"/>
          <w:szCs w:val="32"/>
        </w:rPr>
        <w:t>1.缴纳金额：食材分组一XXX元，食材分组二XXX元........</w:t>
      </w:r>
    </w:p>
    <w:p>
      <w:pPr>
        <w:numPr>
          <w:ilvl w:val="255"/>
          <w:numId w:val="0"/>
        </w:numPr>
        <w:overflowPunct/>
        <w:adjustRightInd/>
        <w:snapToGrid/>
        <w:spacing w:line="560" w:lineRule="exact"/>
        <w:ind w:firstLine="640"/>
        <w:rPr>
          <w:szCs w:val="32"/>
        </w:rPr>
      </w:pPr>
      <w:r>
        <w:rPr>
          <w:rFonts w:hint="eastAsia"/>
          <w:szCs w:val="32"/>
        </w:rPr>
        <w:t>2.缴纳时间：履约保证金须在XXX日之前汇入以下指定账户，否则视为自动放弃后续投标资格。</w:t>
      </w:r>
    </w:p>
    <w:p>
      <w:pPr>
        <w:numPr>
          <w:ilvl w:val="255"/>
          <w:numId w:val="0"/>
        </w:numPr>
        <w:overflowPunct/>
        <w:adjustRightInd/>
        <w:snapToGrid/>
        <w:spacing w:line="560" w:lineRule="exact"/>
        <w:rPr>
          <w:szCs w:val="32"/>
        </w:rPr>
      </w:pPr>
      <w:r>
        <w:rPr>
          <w:rFonts w:hint="eastAsia"/>
          <w:szCs w:val="32"/>
        </w:rPr>
        <w:t xml:space="preserve">    开户银行：XXXXXXX        汇款账号：XXXXXXX           </w:t>
      </w:r>
    </w:p>
    <w:p>
      <w:pPr>
        <w:overflowPunct/>
        <w:adjustRightInd/>
        <w:snapToGrid/>
        <w:spacing w:line="560" w:lineRule="exact"/>
        <w:ind w:firstLine="640"/>
        <w:jc w:val="left"/>
        <w:rPr>
          <w:szCs w:val="32"/>
        </w:rPr>
      </w:pPr>
      <w:r>
        <w:rPr>
          <w:rFonts w:hint="eastAsia"/>
          <w:szCs w:val="32"/>
        </w:rPr>
        <w:t>3.退款时间：</w:t>
      </w:r>
      <w:r>
        <w:rPr>
          <w:szCs w:val="32"/>
        </w:rPr>
        <w:t>入围协议期满后，且在供货期内经</w:t>
      </w:r>
      <w:r>
        <w:rPr>
          <w:rFonts w:hint="eastAsia"/>
          <w:szCs w:val="32"/>
        </w:rPr>
        <w:t>供货学校</w:t>
      </w:r>
      <w:r>
        <w:rPr>
          <w:szCs w:val="32"/>
        </w:rPr>
        <w:t>验收合格无质量、进度等问题的，</w:t>
      </w:r>
      <w:r>
        <w:rPr>
          <w:rFonts w:hint="eastAsia"/>
          <w:szCs w:val="32"/>
        </w:rPr>
        <w:t>甲方</w:t>
      </w:r>
      <w:r>
        <w:rPr>
          <w:szCs w:val="32"/>
        </w:rPr>
        <w:t>按合同约定退还未被扣除的履约保证金；对于未中标的投标人在入围协议到期后全额退还履约保证金。</w:t>
      </w:r>
    </w:p>
    <w:p>
      <w:pPr>
        <w:overflowPunct/>
        <w:adjustRightInd/>
        <w:snapToGrid/>
        <w:spacing w:line="560" w:lineRule="exact"/>
        <w:ind w:firstLine="0" w:firstLineChars="0"/>
        <w:rPr>
          <w:szCs w:val="32"/>
        </w:rPr>
      </w:pPr>
    </w:p>
    <w:p>
      <w:pPr>
        <w:overflowPunct/>
        <w:adjustRightInd/>
        <w:snapToGrid/>
        <w:spacing w:line="560" w:lineRule="exact"/>
        <w:ind w:firstLine="640"/>
        <w:rPr>
          <w:rFonts w:eastAsia="黑体"/>
          <w:szCs w:val="32"/>
          <w:u w:val="wave"/>
        </w:rPr>
      </w:pPr>
      <w:r>
        <w:rPr>
          <w:rFonts w:eastAsia="黑体"/>
          <w:szCs w:val="32"/>
          <w:u w:val="wave"/>
        </w:rPr>
        <w:t>五、合同与交货</w:t>
      </w:r>
    </w:p>
    <w:p>
      <w:pPr>
        <w:overflowPunct/>
        <w:adjustRightInd/>
        <w:snapToGrid/>
        <w:spacing w:line="560" w:lineRule="exact"/>
        <w:ind w:firstLine="640"/>
        <w:rPr>
          <w:szCs w:val="32"/>
        </w:rPr>
      </w:pPr>
      <w:r>
        <w:rPr>
          <w:rFonts w:hint="eastAsia"/>
          <w:szCs w:val="32"/>
        </w:rPr>
        <w:t>1.</w:t>
      </w:r>
      <w:r>
        <w:rPr>
          <w:szCs w:val="32"/>
        </w:rPr>
        <w:t>本协议为一年入围协议，甲乙双方根据本协议在中标后开展实际供货前，应在</w:t>
      </w:r>
      <w:r>
        <w:rPr>
          <w:rFonts w:hint="eastAsia"/>
          <w:szCs w:val="32"/>
        </w:rPr>
        <w:t>“阳光食堂”平台</w:t>
      </w:r>
      <w:r>
        <w:rPr>
          <w:szCs w:val="32"/>
        </w:rPr>
        <w:t>打印《供货合同》并签字和加盖买卖双方公章（或合同章）。</w:t>
      </w:r>
    </w:p>
    <w:p>
      <w:pPr>
        <w:overflowPunct/>
        <w:adjustRightInd/>
        <w:snapToGrid/>
        <w:spacing w:line="560" w:lineRule="exact"/>
        <w:ind w:firstLine="640"/>
        <w:rPr>
          <w:szCs w:val="32"/>
        </w:rPr>
      </w:pPr>
      <w:r>
        <w:rPr>
          <w:rFonts w:hint="eastAsia"/>
          <w:szCs w:val="32"/>
        </w:rPr>
        <w:t>2.</w:t>
      </w:r>
      <w:r>
        <w:rPr>
          <w:szCs w:val="32"/>
        </w:rPr>
        <w:t>甲乙双方必须遵守《供货合同》，经正式确定的《供货合同》的各项内容包括：产品名称、规格、产品价格、产品数量、产品交货期、产品交货地点、付款期限、所有合同附带说明或者条款等。</w:t>
      </w:r>
    </w:p>
    <w:p>
      <w:pPr>
        <w:overflowPunct/>
        <w:adjustRightInd/>
        <w:snapToGrid/>
        <w:spacing w:line="560" w:lineRule="exact"/>
        <w:ind w:firstLine="640"/>
        <w:rPr>
          <w:szCs w:val="32"/>
        </w:rPr>
      </w:pPr>
      <w:r>
        <w:rPr>
          <w:rFonts w:hint="eastAsia"/>
          <w:szCs w:val="32"/>
        </w:rPr>
        <w:t>3.</w:t>
      </w:r>
      <w:r>
        <w:rPr>
          <w:szCs w:val="32"/>
        </w:rPr>
        <w:t>乙方在交货时，须提供送货单、产品合格证或质量检验报告、质量承诺书、相关质量证明文件以及合同要求提供的其它文件，如原产地证明，进口报关证明等凭证。送货单上须明确注明合同号、甲方物资编码、物资名称、品牌、规格、数量、单位等基础信息。</w:t>
      </w:r>
    </w:p>
    <w:p>
      <w:pPr>
        <w:overflowPunct/>
        <w:adjustRightInd/>
        <w:snapToGrid/>
        <w:spacing w:line="560" w:lineRule="exact"/>
        <w:ind w:firstLine="640"/>
        <w:rPr>
          <w:szCs w:val="32"/>
        </w:rPr>
      </w:pPr>
      <w:r>
        <w:rPr>
          <w:rFonts w:hint="eastAsia"/>
          <w:szCs w:val="32"/>
        </w:rPr>
        <w:t>4.</w:t>
      </w:r>
      <w:r>
        <w:rPr>
          <w:szCs w:val="32"/>
        </w:rPr>
        <w:t>乙方必须满足经双方确认的《供货合同》中交货期的要求按时交货。除非甲方要求，乙方交货时间提前或推迟不得超过1小时，否则视为逾期交货，按照违约条款处理并扣减其服务分值。</w:t>
      </w:r>
    </w:p>
    <w:p>
      <w:pPr>
        <w:overflowPunct/>
        <w:adjustRightInd/>
        <w:snapToGrid/>
        <w:spacing w:line="560" w:lineRule="exact"/>
        <w:ind w:firstLine="640"/>
        <w:rPr>
          <w:szCs w:val="32"/>
        </w:rPr>
      </w:pPr>
      <w:r>
        <w:rPr>
          <w:rFonts w:hint="eastAsia"/>
          <w:szCs w:val="32"/>
        </w:rPr>
        <w:t>5.</w:t>
      </w:r>
      <w:r>
        <w:rPr>
          <w:szCs w:val="32"/>
        </w:rPr>
        <w:t>乙方必须每日对供货食材进行全面抽检，抽检合格后方可向甲方进行配送。甲方严格按照监管要求进行食材验收，依法依规向乙方索取检验检疫等凭据。</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六、《供货合同》变更</w:t>
      </w:r>
    </w:p>
    <w:p>
      <w:pPr>
        <w:overflowPunct/>
        <w:adjustRightInd/>
        <w:snapToGrid/>
        <w:spacing w:line="560" w:lineRule="exact"/>
        <w:ind w:firstLine="640"/>
        <w:rPr>
          <w:szCs w:val="32"/>
        </w:rPr>
      </w:pPr>
      <w:r>
        <w:rPr>
          <w:rFonts w:hint="eastAsia"/>
          <w:szCs w:val="32"/>
        </w:rPr>
        <w:t>1.</w:t>
      </w:r>
      <w:r>
        <w:rPr>
          <w:szCs w:val="32"/>
        </w:rPr>
        <w:t>因甲方的原因变更《供货合同》的，甲方应以书面形式通知乙方，并经双方协商一致签署有关变更文件。如由此造成乙方履行《供货合同》的价格或时间变化，将对合同价格、交货期进行合理调整。乙方据此要求的调整必须在收到甲方通知后2天内提出。</w:t>
      </w:r>
    </w:p>
    <w:p>
      <w:pPr>
        <w:overflowPunct/>
        <w:adjustRightInd/>
        <w:snapToGrid/>
        <w:spacing w:line="560" w:lineRule="exact"/>
        <w:ind w:firstLine="640"/>
        <w:rPr>
          <w:szCs w:val="32"/>
        </w:rPr>
      </w:pPr>
      <w:r>
        <w:rPr>
          <w:rFonts w:hint="eastAsia"/>
          <w:szCs w:val="32"/>
        </w:rPr>
        <w:t>2.</w:t>
      </w:r>
      <w:r>
        <w:rPr>
          <w:szCs w:val="32"/>
        </w:rPr>
        <w:t>无论是根据《供货合同》要求，或是现场实际情况作出变更，乙方都不能免除其对货物应承担的责任。</w:t>
      </w:r>
    </w:p>
    <w:p>
      <w:pPr>
        <w:overflowPunct/>
        <w:adjustRightInd/>
        <w:snapToGrid/>
        <w:spacing w:line="560" w:lineRule="exact"/>
        <w:ind w:firstLine="640"/>
        <w:rPr>
          <w:szCs w:val="32"/>
        </w:rPr>
      </w:pPr>
      <w:r>
        <w:rPr>
          <w:rFonts w:hint="eastAsia"/>
          <w:szCs w:val="32"/>
        </w:rPr>
        <w:t>3.</w:t>
      </w:r>
      <w:r>
        <w:rPr>
          <w:szCs w:val="32"/>
        </w:rPr>
        <w:t>除了甲乙双方签署补充协议修改《供货合同》，并成为《供货合同》不可分割的一部分的情况外，《供货合同》的条件不得有任何变化或修改。</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七、变更或终止本协议</w:t>
      </w:r>
    </w:p>
    <w:p>
      <w:pPr>
        <w:overflowPunct/>
        <w:adjustRightInd/>
        <w:snapToGrid/>
        <w:spacing w:line="560" w:lineRule="exact"/>
        <w:ind w:firstLine="640"/>
        <w:rPr>
          <w:szCs w:val="32"/>
        </w:rPr>
      </w:pPr>
      <w:r>
        <w:rPr>
          <w:rFonts w:hint="eastAsia"/>
          <w:szCs w:val="32"/>
        </w:rPr>
        <w:t>1.</w:t>
      </w:r>
      <w:r>
        <w:rPr>
          <w:szCs w:val="32"/>
        </w:rPr>
        <w:t>鉴于</w:t>
      </w:r>
      <w:r>
        <w:rPr>
          <w:rFonts w:hint="eastAsia"/>
          <w:szCs w:val="32"/>
        </w:rPr>
        <w:t>学校</w:t>
      </w:r>
      <w:r>
        <w:rPr>
          <w:szCs w:val="32"/>
        </w:rPr>
        <w:t>食堂供货的特殊性，在本协议有效期内，甲乙双方承诺任何一方不得擅自变更或终止协议，否则应负担所造成的一切损失。除本协议明确约定一方有权单方解除协议的情形之外，如一方因故需变更或终止协议，必须提前一个月书面通知另一方，经双方达成一致意见后，方可终止。</w:t>
      </w:r>
    </w:p>
    <w:p>
      <w:pPr>
        <w:overflowPunct/>
        <w:adjustRightInd/>
        <w:snapToGrid/>
        <w:spacing w:line="560" w:lineRule="exact"/>
        <w:ind w:firstLine="640"/>
        <w:rPr>
          <w:szCs w:val="32"/>
        </w:rPr>
      </w:pPr>
      <w:r>
        <w:rPr>
          <w:rFonts w:hint="eastAsia"/>
          <w:szCs w:val="32"/>
        </w:rPr>
        <w:t>2.</w:t>
      </w:r>
      <w:r>
        <w:rPr>
          <w:szCs w:val="32"/>
        </w:rPr>
        <w:t>出现下列情况时本协议自行终止：</w:t>
      </w:r>
    </w:p>
    <w:p>
      <w:pPr>
        <w:overflowPunct/>
        <w:adjustRightInd/>
        <w:snapToGrid/>
        <w:spacing w:line="560" w:lineRule="exact"/>
        <w:ind w:firstLine="640"/>
        <w:rPr>
          <w:szCs w:val="32"/>
        </w:rPr>
      </w:pPr>
      <w:r>
        <w:rPr>
          <w:rFonts w:hint="eastAsia"/>
          <w:szCs w:val="32"/>
        </w:rPr>
        <w:t>2.1</w:t>
      </w:r>
      <w:r>
        <w:rPr>
          <w:szCs w:val="32"/>
        </w:rPr>
        <w:t>本协议正常履行完毕；</w:t>
      </w:r>
    </w:p>
    <w:p>
      <w:pPr>
        <w:overflowPunct/>
        <w:adjustRightInd/>
        <w:snapToGrid/>
        <w:spacing w:line="560" w:lineRule="exact"/>
        <w:ind w:firstLine="640"/>
        <w:rPr>
          <w:szCs w:val="32"/>
        </w:rPr>
      </w:pPr>
      <w:r>
        <w:rPr>
          <w:rFonts w:hint="eastAsia"/>
          <w:szCs w:val="32"/>
        </w:rPr>
        <w:t>2.2</w:t>
      </w:r>
      <w:r>
        <w:rPr>
          <w:szCs w:val="32"/>
        </w:rPr>
        <w:t>甲乙双方协议终止本协议的履行；</w:t>
      </w:r>
    </w:p>
    <w:p>
      <w:pPr>
        <w:overflowPunct/>
        <w:adjustRightInd/>
        <w:snapToGrid/>
        <w:spacing w:line="560" w:lineRule="exact"/>
        <w:ind w:firstLine="640"/>
        <w:rPr>
          <w:szCs w:val="32"/>
        </w:rPr>
      </w:pPr>
      <w:r>
        <w:rPr>
          <w:rFonts w:hint="eastAsia"/>
          <w:szCs w:val="32"/>
        </w:rPr>
        <w:t>2.3</w:t>
      </w:r>
      <w:r>
        <w:rPr>
          <w:szCs w:val="32"/>
        </w:rPr>
        <w:t>符合法律规定的不可抗力导致本协议无法履行或履行不必要时；</w:t>
      </w:r>
    </w:p>
    <w:p>
      <w:pPr>
        <w:overflowPunct/>
        <w:adjustRightInd/>
        <w:snapToGrid/>
        <w:spacing w:line="560" w:lineRule="exact"/>
        <w:ind w:firstLine="640"/>
        <w:rPr>
          <w:szCs w:val="32"/>
        </w:rPr>
      </w:pPr>
      <w:r>
        <w:rPr>
          <w:rFonts w:hint="eastAsia"/>
          <w:szCs w:val="32"/>
        </w:rPr>
        <w:t>2.4</w:t>
      </w:r>
      <w:r>
        <w:rPr>
          <w:szCs w:val="32"/>
        </w:rPr>
        <w:t>因乙方产品质量或服务问题给甲方造成重大损失的。</w:t>
      </w:r>
    </w:p>
    <w:p>
      <w:pPr>
        <w:overflowPunct/>
        <w:adjustRightInd/>
        <w:snapToGrid/>
        <w:spacing w:line="560" w:lineRule="exact"/>
        <w:ind w:firstLine="640"/>
        <w:rPr>
          <w:szCs w:val="32"/>
        </w:rPr>
      </w:pPr>
      <w:r>
        <w:rPr>
          <w:rFonts w:hint="eastAsia"/>
          <w:szCs w:val="32"/>
        </w:rPr>
        <w:t>3.</w:t>
      </w:r>
      <w:r>
        <w:rPr>
          <w:szCs w:val="32"/>
        </w:rPr>
        <w:t>乙方在本协议有效期内有以下情形之一的，将被取消供货资格：</w:t>
      </w:r>
    </w:p>
    <w:p>
      <w:pPr>
        <w:overflowPunct/>
        <w:adjustRightInd/>
        <w:snapToGrid/>
        <w:spacing w:line="560" w:lineRule="exact"/>
        <w:ind w:firstLine="640"/>
        <w:rPr>
          <w:szCs w:val="32"/>
        </w:rPr>
      </w:pPr>
      <w:r>
        <w:rPr>
          <w:rFonts w:hint="eastAsia"/>
          <w:szCs w:val="32"/>
        </w:rPr>
        <w:t>3.1</w:t>
      </w:r>
      <w:r>
        <w:rPr>
          <w:szCs w:val="32"/>
        </w:rPr>
        <w:t>隐瞒不具备供货条件的相关情况，本协议签订后被发现的；</w:t>
      </w:r>
    </w:p>
    <w:p>
      <w:pPr>
        <w:overflowPunct/>
        <w:adjustRightInd/>
        <w:snapToGrid/>
        <w:spacing w:line="560" w:lineRule="exact"/>
        <w:ind w:firstLine="640"/>
        <w:rPr>
          <w:szCs w:val="32"/>
        </w:rPr>
      </w:pPr>
      <w:r>
        <w:rPr>
          <w:rFonts w:hint="eastAsia"/>
          <w:szCs w:val="32"/>
        </w:rPr>
        <w:t>3.2</w:t>
      </w:r>
      <w:r>
        <w:rPr>
          <w:szCs w:val="32"/>
        </w:rPr>
        <w:t>不参加</w:t>
      </w:r>
      <w:r>
        <w:rPr>
          <w:rFonts w:hint="eastAsia"/>
          <w:szCs w:val="32"/>
        </w:rPr>
        <w:t>实际竞价</w:t>
      </w:r>
      <w:r>
        <w:rPr>
          <w:szCs w:val="32"/>
        </w:rPr>
        <w:t>达到三次的；</w:t>
      </w:r>
    </w:p>
    <w:p>
      <w:pPr>
        <w:overflowPunct/>
        <w:adjustRightInd/>
        <w:snapToGrid/>
        <w:spacing w:line="560" w:lineRule="exact"/>
        <w:ind w:firstLine="640"/>
        <w:rPr>
          <w:szCs w:val="32"/>
        </w:rPr>
      </w:pPr>
      <w:r>
        <w:rPr>
          <w:rFonts w:hint="eastAsia"/>
          <w:szCs w:val="32"/>
        </w:rPr>
        <w:t>3.3</w:t>
      </w:r>
      <w:r>
        <w:rPr>
          <w:szCs w:val="32"/>
        </w:rPr>
        <w:t>将项目转包、分包其他单位的；</w:t>
      </w:r>
    </w:p>
    <w:p>
      <w:pPr>
        <w:overflowPunct/>
        <w:adjustRightInd/>
        <w:snapToGrid/>
        <w:spacing w:line="560" w:lineRule="exact"/>
        <w:ind w:firstLine="640"/>
        <w:rPr>
          <w:szCs w:val="32"/>
        </w:rPr>
      </w:pPr>
      <w:r>
        <w:rPr>
          <w:rFonts w:hint="eastAsia"/>
          <w:szCs w:val="32"/>
        </w:rPr>
        <w:t>3.4</w:t>
      </w:r>
      <w:r>
        <w:rPr>
          <w:szCs w:val="32"/>
        </w:rPr>
        <w:t>在供货</w:t>
      </w:r>
      <w:r>
        <w:rPr>
          <w:rFonts w:hint="eastAsia"/>
          <w:szCs w:val="32"/>
        </w:rPr>
        <w:t>期间</w:t>
      </w:r>
      <w:r>
        <w:rPr>
          <w:szCs w:val="32"/>
        </w:rPr>
        <w:t>产品质量出现严重问题不能满足甲方要求的；</w:t>
      </w:r>
    </w:p>
    <w:p>
      <w:pPr>
        <w:overflowPunct/>
        <w:adjustRightInd/>
        <w:snapToGrid/>
        <w:spacing w:line="560" w:lineRule="exact"/>
        <w:ind w:firstLine="640"/>
        <w:rPr>
          <w:szCs w:val="32"/>
        </w:rPr>
      </w:pPr>
      <w:r>
        <w:rPr>
          <w:rFonts w:hint="eastAsia"/>
          <w:szCs w:val="32"/>
        </w:rPr>
        <w:t>3.5</w:t>
      </w:r>
      <w:r>
        <w:rPr>
          <w:szCs w:val="32"/>
        </w:rPr>
        <w:t>在相关合作过程中存在履行合同、相互协调方面的严重问题及其他严重问题。</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八、廉政约定</w:t>
      </w:r>
    </w:p>
    <w:p>
      <w:pPr>
        <w:overflowPunct/>
        <w:adjustRightInd/>
        <w:snapToGrid/>
        <w:spacing w:line="560" w:lineRule="exact"/>
        <w:ind w:firstLine="640"/>
        <w:rPr>
          <w:szCs w:val="32"/>
        </w:rPr>
      </w:pPr>
      <w:r>
        <w:rPr>
          <w:rFonts w:hint="eastAsia"/>
          <w:szCs w:val="32"/>
        </w:rPr>
        <w:t>1.</w:t>
      </w:r>
      <w:r>
        <w:rPr>
          <w:szCs w:val="32"/>
        </w:rPr>
        <w:t>乙方不得以任何形式向甲方人员赠送各种贵重物品、礼金礼券和回扣、好处费等，经检举被核查属实的，甲方有权终止项目合同，乙方承担相应的经济损失。</w:t>
      </w:r>
    </w:p>
    <w:p>
      <w:pPr>
        <w:overflowPunct/>
        <w:adjustRightInd/>
        <w:snapToGrid/>
        <w:spacing w:line="560" w:lineRule="exact"/>
        <w:ind w:firstLine="640"/>
        <w:rPr>
          <w:szCs w:val="32"/>
        </w:rPr>
      </w:pPr>
      <w:r>
        <w:rPr>
          <w:rFonts w:hint="eastAsia"/>
          <w:szCs w:val="32"/>
        </w:rPr>
        <w:t>2.</w:t>
      </w:r>
      <w:r>
        <w:rPr>
          <w:szCs w:val="32"/>
        </w:rPr>
        <w:t>甲方人员向乙方索贿，经检举被核查属实，将移送有关单位，视情节轻重给予党纪、政纪处分，构成犯罪的追究刑事责任。同时给予检举人奖励，奖金由甲方承担。</w:t>
      </w:r>
    </w:p>
    <w:p>
      <w:pPr>
        <w:overflowPunct/>
        <w:adjustRightInd/>
        <w:snapToGrid/>
        <w:spacing w:line="560" w:lineRule="exact"/>
        <w:ind w:firstLine="640"/>
        <w:rPr>
          <w:szCs w:val="32"/>
        </w:rPr>
      </w:pPr>
      <w:r>
        <w:rPr>
          <w:rFonts w:hint="eastAsia"/>
          <w:szCs w:val="32"/>
        </w:rPr>
        <w:t>3.</w:t>
      </w:r>
      <w:r>
        <w:rPr>
          <w:szCs w:val="32"/>
        </w:rPr>
        <w:t>乙方在采购活动中，若违反廉政协议，经XXXXXXXX县（市、区）招标工作组核实确认，取消乙方参与XXXXXXXX县（市、区）学校食材采购的投标资格；情节严重的，经XXXXXXXX设区市</w:t>
      </w:r>
      <w:r>
        <w:rPr>
          <w:rFonts w:hint="eastAsia"/>
          <w:szCs w:val="32"/>
        </w:rPr>
        <w:t>中小学食材招标工作组</w:t>
      </w:r>
      <w:r>
        <w:rPr>
          <w:szCs w:val="32"/>
        </w:rPr>
        <w:t>核实确认，</w:t>
      </w:r>
      <w:r>
        <w:rPr>
          <w:rFonts w:hint="eastAsia"/>
          <w:szCs w:val="32"/>
        </w:rPr>
        <w:t>取消其在设区市或省域范围内</w:t>
      </w:r>
      <w:r>
        <w:rPr>
          <w:szCs w:val="32"/>
        </w:rPr>
        <w:t>学校食材采购</w:t>
      </w:r>
      <w:r>
        <w:rPr>
          <w:rFonts w:hint="eastAsia"/>
          <w:szCs w:val="32"/>
        </w:rPr>
        <w:t>的投标资格。</w:t>
      </w:r>
    </w:p>
    <w:p>
      <w:pPr>
        <w:overflowPunct/>
        <w:adjustRightInd/>
        <w:snapToGrid/>
        <w:spacing w:line="560" w:lineRule="exact"/>
        <w:ind w:firstLine="640"/>
        <w:rPr>
          <w:rFonts w:eastAsia="黑体"/>
          <w:szCs w:val="32"/>
          <w:u w:val="wave"/>
        </w:rPr>
      </w:pPr>
    </w:p>
    <w:p>
      <w:pPr>
        <w:overflowPunct/>
        <w:adjustRightInd/>
        <w:snapToGrid/>
        <w:spacing w:line="560" w:lineRule="exact"/>
        <w:ind w:firstLine="640"/>
        <w:rPr>
          <w:rFonts w:eastAsia="黑体"/>
          <w:szCs w:val="32"/>
          <w:u w:val="wave"/>
        </w:rPr>
      </w:pPr>
      <w:r>
        <w:rPr>
          <w:rFonts w:eastAsia="黑体"/>
          <w:szCs w:val="32"/>
          <w:u w:val="wave"/>
        </w:rPr>
        <w:t>九、监管约定</w:t>
      </w:r>
    </w:p>
    <w:p>
      <w:pPr>
        <w:overflowPunct/>
        <w:adjustRightInd/>
        <w:snapToGrid/>
        <w:spacing w:line="560" w:lineRule="exact"/>
        <w:ind w:firstLine="640"/>
        <w:rPr>
          <w:szCs w:val="32"/>
        </w:rPr>
      </w:pPr>
      <w:r>
        <w:rPr>
          <w:szCs w:val="32"/>
        </w:rPr>
        <w:t>在本协议及其后续《供货合同》履行过</w:t>
      </w:r>
      <w:r>
        <w:rPr>
          <w:rFonts w:hint="eastAsia"/>
          <w:szCs w:val="32"/>
        </w:rPr>
        <w:t>程中</w:t>
      </w:r>
      <w:r>
        <w:rPr>
          <w:szCs w:val="32"/>
        </w:rPr>
        <w:t>，出于</w:t>
      </w:r>
      <w:r>
        <w:rPr>
          <w:rFonts w:hint="eastAsia"/>
          <w:szCs w:val="32"/>
        </w:rPr>
        <w:t>学校</w:t>
      </w:r>
      <w:r>
        <w:rPr>
          <w:szCs w:val="32"/>
        </w:rPr>
        <w:t>食堂公益性和安全性的考虑，甲乙双方均有权利和义务接受监管。</w:t>
      </w:r>
    </w:p>
    <w:p>
      <w:pPr>
        <w:overflowPunct/>
        <w:adjustRightInd/>
        <w:snapToGrid/>
        <w:spacing w:line="560" w:lineRule="exact"/>
        <w:ind w:firstLine="640"/>
        <w:rPr>
          <w:szCs w:val="32"/>
        </w:rPr>
      </w:pPr>
      <w:r>
        <w:rPr>
          <w:rFonts w:hint="eastAsia"/>
          <w:szCs w:val="32"/>
        </w:rPr>
        <w:t>1.</w:t>
      </w:r>
      <w:r>
        <w:rPr>
          <w:szCs w:val="32"/>
        </w:rPr>
        <w:t>对乙方的监督</w:t>
      </w:r>
    </w:p>
    <w:p>
      <w:pPr>
        <w:overflowPunct/>
        <w:adjustRightInd/>
        <w:snapToGrid/>
        <w:spacing w:line="560" w:lineRule="exact"/>
        <w:ind w:firstLine="643"/>
        <w:rPr>
          <w:b/>
          <w:bCs/>
          <w:szCs w:val="32"/>
        </w:rPr>
      </w:pPr>
      <w:r>
        <w:rPr>
          <w:rFonts w:hint="eastAsia"/>
          <w:b/>
          <w:bCs/>
          <w:szCs w:val="32"/>
        </w:rPr>
        <w:t>1.1</w:t>
      </w:r>
      <w:r>
        <w:rPr>
          <w:b/>
          <w:bCs/>
          <w:szCs w:val="32"/>
        </w:rPr>
        <w:t>乙方服务评价。</w:t>
      </w:r>
    </w:p>
    <w:p>
      <w:pPr>
        <w:overflowPunct/>
        <w:adjustRightInd/>
        <w:snapToGrid/>
        <w:spacing w:line="560" w:lineRule="exact"/>
        <w:ind w:firstLine="640"/>
        <w:rPr>
          <w:szCs w:val="32"/>
        </w:rPr>
      </w:pPr>
      <w:r>
        <w:rPr>
          <w:rFonts w:hint="eastAsia"/>
          <w:szCs w:val="32"/>
        </w:rPr>
        <w:t>（1）</w:t>
      </w:r>
      <w:r>
        <w:rPr>
          <w:szCs w:val="32"/>
        </w:rPr>
        <w:t>甲方按规定对乙方履行合同约定、食品安全与服务质量等进行评价，学生和家长志愿者对乙方服务水平、食品质量、食品安全等进行评价，</w:t>
      </w:r>
      <w:r>
        <w:rPr>
          <w:rFonts w:hint="eastAsia"/>
          <w:szCs w:val="32"/>
        </w:rPr>
        <w:t>市场</w:t>
      </w:r>
      <w:r>
        <w:rPr>
          <w:szCs w:val="32"/>
        </w:rPr>
        <w:t>监管部门按规定对乙方进行检查。</w:t>
      </w:r>
    </w:p>
    <w:p>
      <w:pPr>
        <w:overflowPunct/>
        <w:adjustRightInd/>
        <w:snapToGrid/>
        <w:spacing w:line="560" w:lineRule="exact"/>
        <w:ind w:firstLine="640"/>
        <w:rPr>
          <w:szCs w:val="32"/>
          <w:u w:val="wave"/>
        </w:rPr>
      </w:pPr>
      <w:r>
        <w:rPr>
          <w:rFonts w:hint="eastAsia"/>
          <w:szCs w:val="32"/>
          <w:u w:val="wave"/>
        </w:rPr>
        <w:t>（2）</w:t>
      </w:r>
      <w:r>
        <w:rPr>
          <w:szCs w:val="32"/>
          <w:u w:val="wave"/>
        </w:rPr>
        <w:t>乙方服务评价采用累计扣分制，在</w:t>
      </w:r>
      <w:r>
        <w:rPr>
          <w:rFonts w:hint="eastAsia"/>
          <w:szCs w:val="32"/>
          <w:u w:val="wave"/>
        </w:rPr>
        <w:t>“阳光食堂”平台</w:t>
      </w:r>
      <w:r>
        <w:rPr>
          <w:szCs w:val="32"/>
          <w:u w:val="wave"/>
        </w:rPr>
        <w:t>中动态记录服务分值。所有乙方初始服务分均为满分（100分），根据评价指标的行为程度分别扣除3分（特别严重）、2分（严重）、1分（一般）。乙方违规违约次数越多，分值越低，每送货500次可恢复</w:t>
      </w:r>
      <w:r>
        <w:rPr>
          <w:rFonts w:hint="eastAsia"/>
          <w:szCs w:val="32"/>
          <w:u w:val="wave"/>
        </w:rPr>
        <w:t>1</w:t>
      </w:r>
      <w:r>
        <w:rPr>
          <w:szCs w:val="32"/>
          <w:u w:val="wave"/>
        </w:rPr>
        <w:t>分。</w:t>
      </w:r>
    </w:p>
    <w:p>
      <w:pPr>
        <w:overflowPunct/>
        <w:adjustRightInd/>
        <w:snapToGrid/>
        <w:spacing w:line="560" w:lineRule="exact"/>
        <w:ind w:firstLine="640"/>
        <w:rPr>
          <w:szCs w:val="32"/>
        </w:rPr>
      </w:pPr>
      <w:r>
        <w:rPr>
          <w:rFonts w:hint="eastAsia"/>
          <w:szCs w:val="32"/>
        </w:rPr>
        <w:t>（3）</w:t>
      </w:r>
      <w:r>
        <w:rPr>
          <w:szCs w:val="32"/>
        </w:rPr>
        <w:t>对乙方的服务评价结果将作为下一学年江苏省域范围内</w:t>
      </w:r>
      <w:r>
        <w:rPr>
          <w:rFonts w:hint="eastAsia"/>
          <w:szCs w:val="32"/>
        </w:rPr>
        <w:t>学校</w:t>
      </w:r>
      <w:r>
        <w:rPr>
          <w:szCs w:val="32"/>
        </w:rPr>
        <w:t>食材招标采购、对乙方履约管理、</w:t>
      </w:r>
      <w:r>
        <w:rPr>
          <w:rFonts w:hint="eastAsia"/>
          <w:szCs w:val="32"/>
        </w:rPr>
        <w:t>实际竞价</w:t>
      </w:r>
      <w:r>
        <w:rPr>
          <w:szCs w:val="32"/>
        </w:rPr>
        <w:t>综合评分等的重要依据。</w:t>
      </w:r>
    </w:p>
    <w:p>
      <w:pPr>
        <w:overflowPunct/>
        <w:adjustRightInd/>
        <w:snapToGrid/>
        <w:spacing w:line="560" w:lineRule="exact"/>
        <w:ind w:firstLine="643"/>
        <w:rPr>
          <w:b/>
          <w:bCs/>
          <w:szCs w:val="32"/>
        </w:rPr>
      </w:pPr>
      <w:r>
        <w:rPr>
          <w:rFonts w:hint="eastAsia"/>
          <w:b/>
          <w:bCs/>
          <w:szCs w:val="32"/>
        </w:rPr>
        <w:t>（4）乙方如不参加实际竞价或报价无效的，视发生次数和影响程度扣除相应履约保证金XXX元。</w:t>
      </w:r>
    </w:p>
    <w:p>
      <w:pPr>
        <w:overflowPunct/>
        <w:adjustRightInd/>
        <w:snapToGrid/>
        <w:spacing w:line="560" w:lineRule="exact"/>
        <w:ind w:firstLine="643"/>
        <w:rPr>
          <w:szCs w:val="32"/>
        </w:rPr>
      </w:pPr>
      <w:r>
        <w:rPr>
          <w:rFonts w:hint="eastAsia"/>
          <w:b/>
          <w:bCs/>
          <w:szCs w:val="32"/>
        </w:rPr>
        <w:t>1.2</w:t>
      </w:r>
      <w:r>
        <w:rPr>
          <w:b/>
          <w:bCs/>
          <w:szCs w:val="32"/>
        </w:rPr>
        <w:t>负面清单。</w:t>
      </w:r>
      <w:r>
        <w:rPr>
          <w:szCs w:val="32"/>
        </w:rPr>
        <w:t>有以下情形之一，</w:t>
      </w:r>
      <w:r>
        <w:rPr>
          <w:rFonts w:hint="eastAsia"/>
          <w:szCs w:val="32"/>
          <w:lang w:eastAsia="zh-CN"/>
        </w:rPr>
        <w:t>触发负面清单</w:t>
      </w:r>
      <w:r>
        <w:rPr>
          <w:szCs w:val="32"/>
        </w:rPr>
        <w:t>，由甲方及时督促乙方立即整改，并按负面清单扣分要求扣除服务分值。</w:t>
      </w:r>
    </w:p>
    <w:p>
      <w:pPr>
        <w:overflowPunct/>
        <w:adjustRightInd/>
        <w:snapToGrid/>
        <w:spacing w:line="560" w:lineRule="exact"/>
        <w:ind w:firstLine="640"/>
        <w:rPr>
          <w:szCs w:val="32"/>
        </w:rPr>
      </w:pPr>
      <w:r>
        <w:rPr>
          <w:szCs w:val="32"/>
        </w:rPr>
        <w:t>（1）乙方供应食材不符合合同规定验收标准的；</w:t>
      </w:r>
    </w:p>
    <w:p>
      <w:pPr>
        <w:overflowPunct/>
        <w:adjustRightInd/>
        <w:snapToGrid/>
        <w:spacing w:line="560" w:lineRule="exact"/>
        <w:ind w:firstLine="640"/>
        <w:rPr>
          <w:szCs w:val="32"/>
        </w:rPr>
      </w:pPr>
      <w:r>
        <w:rPr>
          <w:szCs w:val="32"/>
        </w:rPr>
        <w:t>（2）供应食材有漏发、漏送、迟到的；</w:t>
      </w:r>
    </w:p>
    <w:p>
      <w:pPr>
        <w:overflowPunct/>
        <w:adjustRightInd/>
        <w:snapToGrid/>
        <w:spacing w:line="560" w:lineRule="exact"/>
        <w:ind w:firstLine="640"/>
        <w:rPr>
          <w:szCs w:val="32"/>
        </w:rPr>
      </w:pPr>
      <w:r>
        <w:rPr>
          <w:szCs w:val="32"/>
        </w:rPr>
        <w:t>（3）未按照食材品类的配送要求，使用相应的封闭式专用配送车辆或使用其他社会车辆供应食材的；</w:t>
      </w:r>
    </w:p>
    <w:p>
      <w:pPr>
        <w:overflowPunct/>
        <w:adjustRightInd/>
        <w:snapToGrid/>
        <w:spacing w:line="560" w:lineRule="exact"/>
        <w:ind w:firstLine="640"/>
        <w:rPr>
          <w:szCs w:val="32"/>
        </w:rPr>
      </w:pPr>
      <w:r>
        <w:rPr>
          <w:szCs w:val="32"/>
        </w:rPr>
        <w:t>（4）未按要求向甲方食堂提供符合食品卫生监督部门要求的相关食材检测资料或者票证不齐全的；</w:t>
      </w:r>
    </w:p>
    <w:p>
      <w:pPr>
        <w:overflowPunct/>
        <w:adjustRightInd/>
        <w:snapToGrid/>
        <w:spacing w:line="560" w:lineRule="exact"/>
        <w:ind w:firstLine="640"/>
        <w:rPr>
          <w:szCs w:val="32"/>
        </w:rPr>
      </w:pPr>
      <w:r>
        <w:rPr>
          <w:szCs w:val="32"/>
        </w:rPr>
        <w:t>（5）动物性食品、水产品、植物性食品混装、未使用专用周转框箱的；</w:t>
      </w:r>
    </w:p>
    <w:p>
      <w:pPr>
        <w:overflowPunct/>
        <w:adjustRightInd/>
        <w:snapToGrid/>
        <w:spacing w:line="560" w:lineRule="exact"/>
        <w:ind w:firstLine="640"/>
        <w:rPr>
          <w:szCs w:val="32"/>
        </w:rPr>
      </w:pPr>
      <w:r>
        <w:rPr>
          <w:szCs w:val="32"/>
        </w:rPr>
        <w:t>（6）送货单（结算凭证）项目不清晰、不完整的；</w:t>
      </w:r>
    </w:p>
    <w:p>
      <w:pPr>
        <w:overflowPunct/>
        <w:adjustRightInd/>
        <w:snapToGrid/>
        <w:spacing w:line="560" w:lineRule="exact"/>
        <w:ind w:firstLine="640"/>
        <w:rPr>
          <w:b/>
          <w:bCs/>
          <w:szCs w:val="32"/>
          <w:u w:val="wave"/>
        </w:rPr>
      </w:pPr>
      <w:r>
        <w:rPr>
          <w:szCs w:val="32"/>
          <w:u w:val="wave"/>
        </w:rPr>
        <w:t>（7）不参与</w:t>
      </w:r>
      <w:r>
        <w:rPr>
          <w:rFonts w:hint="eastAsia"/>
          <w:szCs w:val="32"/>
          <w:u w:val="wave"/>
        </w:rPr>
        <w:t>实际竞价</w:t>
      </w:r>
      <w:r>
        <w:rPr>
          <w:szCs w:val="32"/>
          <w:u w:val="wave"/>
        </w:rPr>
        <w:t>或在</w:t>
      </w:r>
      <w:r>
        <w:rPr>
          <w:rFonts w:hint="eastAsia"/>
          <w:szCs w:val="32"/>
          <w:u w:val="wave"/>
        </w:rPr>
        <w:t>实际竞价</w:t>
      </w:r>
      <w:r>
        <w:rPr>
          <w:szCs w:val="32"/>
          <w:u w:val="wave"/>
        </w:rPr>
        <w:t>中不按要求报价的；</w:t>
      </w:r>
    </w:p>
    <w:p>
      <w:pPr>
        <w:overflowPunct/>
        <w:adjustRightInd/>
        <w:snapToGrid/>
        <w:spacing w:line="560" w:lineRule="exact"/>
        <w:ind w:firstLine="640"/>
        <w:rPr>
          <w:szCs w:val="32"/>
        </w:rPr>
      </w:pPr>
      <w:r>
        <w:rPr>
          <w:szCs w:val="32"/>
        </w:rPr>
        <w:t>（8）当期食材报价有漏报、错报的；</w:t>
      </w:r>
    </w:p>
    <w:p>
      <w:pPr>
        <w:overflowPunct/>
        <w:adjustRightInd/>
        <w:snapToGrid/>
        <w:spacing w:line="560" w:lineRule="exact"/>
        <w:ind w:firstLine="640"/>
        <w:rPr>
          <w:szCs w:val="32"/>
        </w:rPr>
      </w:pPr>
      <w:r>
        <w:rPr>
          <w:szCs w:val="32"/>
        </w:rPr>
        <w:t>（9）未建立并严格执行食品安全卫生制度、配备且使用专门设备的。</w:t>
      </w:r>
    </w:p>
    <w:p>
      <w:pPr>
        <w:overflowPunct/>
        <w:adjustRightInd/>
        <w:snapToGrid/>
        <w:spacing w:line="560" w:lineRule="exact"/>
        <w:ind w:firstLine="643"/>
        <w:rPr>
          <w:szCs w:val="32"/>
        </w:rPr>
      </w:pPr>
      <w:r>
        <w:rPr>
          <w:rFonts w:hint="eastAsia"/>
          <w:b/>
          <w:bCs/>
          <w:szCs w:val="32"/>
        </w:rPr>
        <w:t>1.</w:t>
      </w:r>
      <w:r>
        <w:rPr>
          <w:b/>
          <w:bCs/>
          <w:szCs w:val="32"/>
        </w:rPr>
        <w:t>3退出机制。</w:t>
      </w:r>
      <w:r>
        <w:rPr>
          <w:szCs w:val="32"/>
        </w:rPr>
        <w:t>有以下情形之一，</w:t>
      </w:r>
      <w:r>
        <w:rPr>
          <w:rFonts w:hint="eastAsia"/>
          <w:szCs w:val="32"/>
          <w:lang w:eastAsia="zh-CN"/>
        </w:rPr>
        <w:t>触发退出机制</w:t>
      </w:r>
      <w:r>
        <w:rPr>
          <w:szCs w:val="32"/>
        </w:rPr>
        <w:t>，</w:t>
      </w:r>
      <w:r>
        <w:rPr>
          <w:rFonts w:hint="eastAsia"/>
          <w:szCs w:val="32"/>
        </w:rPr>
        <w:t>由中小学食材招标工作组核实后终止合同，并根据违规情形建立市场主体信用目录。</w:t>
      </w:r>
      <w:r>
        <w:rPr>
          <w:szCs w:val="32"/>
        </w:rPr>
        <w:t>退出供货后，由其他符合规定的</w:t>
      </w:r>
      <w:r>
        <w:rPr>
          <w:rFonts w:hint="eastAsia"/>
          <w:szCs w:val="32"/>
        </w:rPr>
        <w:t>候补</w:t>
      </w:r>
      <w:r>
        <w:rPr>
          <w:szCs w:val="32"/>
        </w:rPr>
        <w:t>中标人</w:t>
      </w:r>
      <w:r>
        <w:rPr>
          <w:rFonts w:hint="eastAsia"/>
          <w:szCs w:val="32"/>
        </w:rPr>
        <w:t>根据运输能力值</w:t>
      </w:r>
      <w:r>
        <w:rPr>
          <w:szCs w:val="32"/>
        </w:rPr>
        <w:t>补位供货：</w:t>
      </w:r>
    </w:p>
    <w:p>
      <w:pPr>
        <w:overflowPunct/>
        <w:adjustRightInd/>
        <w:snapToGrid/>
        <w:spacing w:line="560" w:lineRule="exact"/>
        <w:ind w:firstLine="640"/>
        <w:rPr>
          <w:szCs w:val="32"/>
        </w:rPr>
      </w:pPr>
      <w:r>
        <w:rPr>
          <w:szCs w:val="32"/>
        </w:rPr>
        <w:t>（1）因供货食材问题而发生校园食品安全事故的；</w:t>
      </w:r>
    </w:p>
    <w:p>
      <w:pPr>
        <w:overflowPunct/>
        <w:adjustRightInd/>
        <w:snapToGrid/>
        <w:spacing w:line="560" w:lineRule="exact"/>
        <w:ind w:firstLine="640"/>
        <w:rPr>
          <w:szCs w:val="32"/>
        </w:rPr>
      </w:pPr>
      <w:r>
        <w:rPr>
          <w:szCs w:val="32"/>
        </w:rPr>
        <w:t>（2）将部分或全部食材供应工作分包或转包；</w:t>
      </w:r>
    </w:p>
    <w:p>
      <w:pPr>
        <w:overflowPunct/>
        <w:adjustRightInd/>
        <w:snapToGrid/>
        <w:spacing w:line="560" w:lineRule="exact"/>
        <w:ind w:firstLine="640"/>
        <w:rPr>
          <w:szCs w:val="32"/>
        </w:rPr>
      </w:pPr>
      <w:r>
        <w:rPr>
          <w:szCs w:val="32"/>
        </w:rPr>
        <w:t>（3）以缺货、亏本等原因（法律规定的不可抗力情形除外）拒不供货的或擅自供应其他食材的；</w:t>
      </w:r>
    </w:p>
    <w:p>
      <w:pPr>
        <w:overflowPunct/>
        <w:adjustRightInd/>
        <w:snapToGrid/>
        <w:spacing w:line="560" w:lineRule="exact"/>
        <w:ind w:firstLine="640"/>
        <w:rPr>
          <w:szCs w:val="32"/>
        </w:rPr>
      </w:pPr>
      <w:r>
        <w:rPr>
          <w:szCs w:val="32"/>
        </w:rPr>
        <w:t>（4）供货中存在无理取闹、胡搅蛮缠等行为或捏造事实、恶意投诉举报并经查实的；</w:t>
      </w:r>
    </w:p>
    <w:p>
      <w:pPr>
        <w:overflowPunct/>
        <w:adjustRightInd/>
        <w:snapToGrid/>
        <w:spacing w:line="560" w:lineRule="exact"/>
        <w:ind w:firstLine="640"/>
        <w:rPr>
          <w:szCs w:val="32"/>
        </w:rPr>
      </w:pPr>
      <w:r>
        <w:rPr>
          <w:szCs w:val="32"/>
        </w:rPr>
        <w:t>（5）向学校提供假冒伪劣食材、擅自更换中标品种、以物换物或擅自降低供货品级、以次充好的；</w:t>
      </w:r>
    </w:p>
    <w:p>
      <w:pPr>
        <w:overflowPunct/>
        <w:adjustRightInd/>
        <w:snapToGrid/>
        <w:spacing w:line="560" w:lineRule="exact"/>
        <w:ind w:firstLine="640"/>
        <w:rPr>
          <w:szCs w:val="32"/>
        </w:rPr>
      </w:pPr>
      <w:r>
        <w:rPr>
          <w:szCs w:val="32"/>
        </w:rPr>
        <w:t>（6）存在向甲方食堂从业人员含厨师、验收人员、保管员、会计及其他管理者行贿行为的或与上述人员勾结，出现虚报数量、虚开发票等行为的；</w:t>
      </w:r>
    </w:p>
    <w:p>
      <w:pPr>
        <w:overflowPunct/>
        <w:adjustRightInd/>
        <w:snapToGrid/>
        <w:spacing w:line="560" w:lineRule="exact"/>
        <w:ind w:firstLine="640"/>
        <w:rPr>
          <w:szCs w:val="32"/>
        </w:rPr>
      </w:pPr>
      <w:r>
        <w:rPr>
          <w:szCs w:val="32"/>
        </w:rPr>
        <w:t>（7）存在串标、围标、恶意低价竞标、恶意哄抬价格等违规行为；</w:t>
      </w:r>
    </w:p>
    <w:p>
      <w:pPr>
        <w:overflowPunct/>
        <w:adjustRightInd/>
        <w:snapToGrid/>
        <w:spacing w:line="560" w:lineRule="exact"/>
        <w:ind w:firstLine="640"/>
        <w:rPr>
          <w:szCs w:val="32"/>
        </w:rPr>
      </w:pPr>
      <w:r>
        <w:rPr>
          <w:szCs w:val="32"/>
        </w:rPr>
        <w:t>（8）一年之内违反《食品安全法》行为被处以两次及以上责令改正、警告或较重罚款或责令停产停业的、吊销许可证或构成犯罪移送</w:t>
      </w:r>
      <w:r>
        <w:rPr>
          <w:rFonts w:hint="eastAsia"/>
          <w:szCs w:val="32"/>
        </w:rPr>
        <w:t>司法机关</w:t>
      </w:r>
      <w:r>
        <w:rPr>
          <w:szCs w:val="32"/>
        </w:rPr>
        <w:t>的；</w:t>
      </w:r>
    </w:p>
    <w:p>
      <w:pPr>
        <w:overflowPunct/>
        <w:adjustRightInd/>
        <w:snapToGrid/>
        <w:spacing w:line="560" w:lineRule="exact"/>
        <w:ind w:firstLine="640"/>
        <w:rPr>
          <w:szCs w:val="32"/>
        </w:rPr>
      </w:pPr>
      <w:r>
        <w:rPr>
          <w:szCs w:val="32"/>
        </w:rPr>
        <w:t>（9）拒绝、阻挠有关部门检查或暴力抗法的；</w:t>
      </w:r>
    </w:p>
    <w:p>
      <w:pPr>
        <w:overflowPunct/>
        <w:adjustRightInd/>
        <w:snapToGrid/>
        <w:spacing w:line="560" w:lineRule="exact"/>
        <w:ind w:firstLine="640"/>
        <w:rPr>
          <w:szCs w:val="32"/>
        </w:rPr>
      </w:pPr>
      <w:r>
        <w:rPr>
          <w:szCs w:val="32"/>
        </w:rPr>
        <w:t>（10）伪造或故意破坏现场的，转移、隐匿、伪造、销毁有关证据资料的；</w:t>
      </w:r>
    </w:p>
    <w:p>
      <w:pPr>
        <w:overflowPunct/>
        <w:adjustRightInd/>
        <w:snapToGrid/>
        <w:spacing w:line="560" w:lineRule="exact"/>
        <w:ind w:firstLine="640"/>
        <w:rPr>
          <w:szCs w:val="32"/>
        </w:rPr>
      </w:pPr>
      <w:r>
        <w:rPr>
          <w:szCs w:val="32"/>
        </w:rPr>
        <w:t>（11）乙方或乙方法定代表人被列入失信名单的。</w:t>
      </w:r>
    </w:p>
    <w:p>
      <w:pPr>
        <w:overflowPunct/>
        <w:adjustRightInd/>
        <w:snapToGrid/>
        <w:spacing w:line="560" w:lineRule="exact"/>
        <w:ind w:firstLine="640"/>
        <w:rPr>
          <w:szCs w:val="32"/>
          <w:u w:val="wave"/>
        </w:rPr>
      </w:pPr>
      <w:r>
        <w:rPr>
          <w:szCs w:val="32"/>
          <w:u w:val="wave"/>
        </w:rPr>
        <w:t>（12）服务分低于70分。</w:t>
      </w:r>
    </w:p>
    <w:p>
      <w:pPr>
        <w:overflowPunct/>
        <w:adjustRightInd/>
        <w:snapToGrid/>
        <w:spacing w:line="560" w:lineRule="exact"/>
        <w:ind w:firstLine="640"/>
        <w:rPr>
          <w:szCs w:val="32"/>
        </w:rPr>
      </w:pPr>
      <w:r>
        <w:rPr>
          <w:rFonts w:hint="eastAsia"/>
          <w:szCs w:val="32"/>
        </w:rPr>
        <w:t>2.</w:t>
      </w:r>
      <w:r>
        <w:rPr>
          <w:szCs w:val="32"/>
        </w:rPr>
        <w:t>对甲方的监督</w:t>
      </w:r>
    </w:p>
    <w:p>
      <w:pPr>
        <w:overflowPunct/>
        <w:adjustRightInd/>
        <w:snapToGrid/>
        <w:spacing w:line="560" w:lineRule="exact"/>
        <w:ind w:firstLine="640"/>
        <w:rPr>
          <w:szCs w:val="32"/>
        </w:rPr>
      </w:pPr>
      <w:r>
        <w:rPr>
          <w:szCs w:val="32"/>
        </w:rPr>
        <w:t>乙方有权据实对学校履行食材验收等环节进行评价，主管部门查实后对甲方进行相应处理。</w:t>
      </w:r>
    </w:p>
    <w:p>
      <w:pPr>
        <w:overflowPunct/>
        <w:adjustRightInd/>
        <w:snapToGrid/>
        <w:spacing w:line="560" w:lineRule="exact"/>
        <w:ind w:firstLine="640"/>
        <w:rPr>
          <w:szCs w:val="32"/>
        </w:rPr>
      </w:pPr>
      <w:r>
        <w:rPr>
          <w:rFonts w:hint="eastAsia"/>
          <w:szCs w:val="32"/>
        </w:rPr>
        <w:t>2.1</w:t>
      </w:r>
      <w:r>
        <w:rPr>
          <w:szCs w:val="32"/>
        </w:rPr>
        <w:t>乙方评价甲方供货验收小组成员是否按照合同约定的验收标准进行验收。</w:t>
      </w:r>
    </w:p>
    <w:p>
      <w:pPr>
        <w:overflowPunct/>
        <w:adjustRightInd/>
        <w:snapToGrid/>
        <w:spacing w:line="560" w:lineRule="exact"/>
        <w:ind w:firstLine="640"/>
        <w:rPr>
          <w:szCs w:val="32"/>
        </w:rPr>
      </w:pPr>
      <w:r>
        <w:rPr>
          <w:szCs w:val="32"/>
        </w:rPr>
        <w:t>2.</w:t>
      </w:r>
      <w:r>
        <w:rPr>
          <w:rFonts w:hint="eastAsia"/>
          <w:szCs w:val="32"/>
        </w:rPr>
        <w:t>2</w:t>
      </w:r>
      <w:r>
        <w:rPr>
          <w:szCs w:val="32"/>
        </w:rPr>
        <w:t>乙方评价供货验收小组成员的供货验收评价是否客观公正，是否现场告知食材投标人。</w:t>
      </w:r>
    </w:p>
    <w:p>
      <w:pPr>
        <w:overflowPunct/>
        <w:adjustRightInd/>
        <w:snapToGrid/>
        <w:spacing w:line="560" w:lineRule="exact"/>
        <w:ind w:firstLine="640"/>
        <w:rPr>
          <w:szCs w:val="32"/>
        </w:rPr>
      </w:pPr>
      <w:r>
        <w:rPr>
          <w:rFonts w:hint="eastAsia"/>
          <w:szCs w:val="32"/>
        </w:rPr>
        <w:t>2.3</w:t>
      </w:r>
      <w:r>
        <w:rPr>
          <w:szCs w:val="32"/>
        </w:rPr>
        <w:t>乙方评价甲方对食材投标人的沟通和投诉的反馈情况。</w:t>
      </w:r>
    </w:p>
    <w:p>
      <w:pPr>
        <w:overflowPunct/>
        <w:adjustRightInd/>
        <w:snapToGrid/>
        <w:spacing w:line="560" w:lineRule="exact"/>
        <w:ind w:firstLine="640"/>
        <w:rPr>
          <w:szCs w:val="32"/>
        </w:rPr>
      </w:pPr>
      <w:r>
        <w:rPr>
          <w:rFonts w:hint="eastAsia"/>
          <w:szCs w:val="32"/>
        </w:rPr>
        <w:t>2.4</w:t>
      </w:r>
      <w:r>
        <w:rPr>
          <w:szCs w:val="32"/>
        </w:rPr>
        <w:t>乙方评价甲方管理人员和供货验收组成员的廉政纪律执行情况。</w:t>
      </w:r>
    </w:p>
    <w:p>
      <w:pPr>
        <w:overflowPunct/>
        <w:adjustRightInd/>
        <w:snapToGrid/>
        <w:spacing w:line="560" w:lineRule="exact"/>
        <w:ind w:firstLine="640"/>
        <w:rPr>
          <w:rFonts w:eastAsia="黑体"/>
          <w:szCs w:val="32"/>
        </w:rPr>
      </w:pPr>
    </w:p>
    <w:p>
      <w:pPr>
        <w:overflowPunct/>
        <w:adjustRightInd/>
        <w:snapToGrid/>
        <w:spacing w:line="560" w:lineRule="exact"/>
        <w:ind w:firstLine="640"/>
        <w:rPr>
          <w:rFonts w:eastAsia="黑体"/>
          <w:szCs w:val="32"/>
        </w:rPr>
      </w:pPr>
      <w:r>
        <w:rPr>
          <w:rFonts w:eastAsia="黑体"/>
          <w:szCs w:val="32"/>
        </w:rPr>
        <w:t xml:space="preserve">十、争议的解决 </w:t>
      </w:r>
    </w:p>
    <w:p>
      <w:pPr>
        <w:overflowPunct/>
        <w:adjustRightInd/>
        <w:snapToGrid/>
        <w:spacing w:line="560" w:lineRule="exact"/>
        <w:ind w:firstLine="640"/>
        <w:rPr>
          <w:szCs w:val="32"/>
        </w:rPr>
      </w:pPr>
      <w:r>
        <w:rPr>
          <w:rFonts w:hint="eastAsia"/>
          <w:szCs w:val="32"/>
        </w:rPr>
        <w:t>1.</w:t>
      </w:r>
      <w:r>
        <w:rPr>
          <w:szCs w:val="32"/>
        </w:rPr>
        <w:t>甲乙双方在履行合同（协议）的过程中，一方违约的，应按照《民法典》的规定承担违约责任，违约方给对方造成损失的，应承担相应经济赔偿责任。同时一方在出现违约情况后，另一方视对方违约情况，有权通知对方采取弥补措施直至合同解除。</w:t>
      </w:r>
    </w:p>
    <w:p>
      <w:pPr>
        <w:overflowPunct/>
        <w:adjustRightInd/>
        <w:snapToGrid/>
        <w:spacing w:line="560" w:lineRule="exact"/>
        <w:ind w:firstLine="640"/>
        <w:rPr>
          <w:szCs w:val="32"/>
        </w:rPr>
      </w:pPr>
      <w:r>
        <w:rPr>
          <w:rFonts w:hint="eastAsia"/>
          <w:szCs w:val="32"/>
        </w:rPr>
        <w:t>2.</w:t>
      </w:r>
      <w:r>
        <w:rPr>
          <w:szCs w:val="32"/>
        </w:rPr>
        <w:t>因本协议、履行本协议或处理本协议相关的事宜发生的纠纷，双方应主动协商解决，仍不能友好解决合同争端，提请甲方所在地法院诉讼。</w:t>
      </w:r>
    </w:p>
    <w:p>
      <w:pPr>
        <w:overflowPunct/>
        <w:adjustRightInd/>
        <w:snapToGrid/>
        <w:spacing w:line="560" w:lineRule="exact"/>
        <w:ind w:firstLine="640"/>
        <w:rPr>
          <w:rFonts w:eastAsia="黑体"/>
          <w:szCs w:val="32"/>
        </w:rPr>
      </w:pPr>
    </w:p>
    <w:p>
      <w:pPr>
        <w:overflowPunct/>
        <w:adjustRightInd/>
        <w:snapToGrid/>
        <w:spacing w:line="560" w:lineRule="exact"/>
        <w:ind w:firstLine="640"/>
        <w:rPr>
          <w:rFonts w:eastAsia="黑体"/>
          <w:szCs w:val="32"/>
        </w:rPr>
      </w:pPr>
      <w:r>
        <w:rPr>
          <w:rFonts w:eastAsia="黑体"/>
          <w:szCs w:val="32"/>
        </w:rPr>
        <w:t>十一、配送要求</w:t>
      </w:r>
    </w:p>
    <w:p>
      <w:pPr>
        <w:overflowPunct/>
        <w:adjustRightInd/>
        <w:snapToGrid/>
        <w:spacing w:line="560" w:lineRule="exact"/>
        <w:ind w:firstLine="640"/>
        <w:rPr>
          <w:szCs w:val="32"/>
        </w:rPr>
      </w:pPr>
      <w:r>
        <w:rPr>
          <w:rFonts w:hint="eastAsia"/>
          <w:szCs w:val="32"/>
        </w:rPr>
        <w:t>1.</w:t>
      </w:r>
      <w:r>
        <w:rPr>
          <w:szCs w:val="32"/>
        </w:rPr>
        <w:t>本招标项目立足于引进具有丰富的食材供货经验，能独立承担经营责任及风险的社会供货机构进行经营及管理。</w:t>
      </w:r>
    </w:p>
    <w:p>
      <w:pPr>
        <w:overflowPunct/>
        <w:adjustRightInd/>
        <w:snapToGrid/>
        <w:spacing w:line="560" w:lineRule="exact"/>
        <w:ind w:firstLine="640"/>
        <w:rPr>
          <w:szCs w:val="32"/>
        </w:rPr>
      </w:pPr>
      <w:r>
        <w:rPr>
          <w:rFonts w:hint="eastAsia"/>
          <w:szCs w:val="32"/>
        </w:rPr>
        <w:t>2.</w:t>
      </w:r>
      <w:r>
        <w:rPr>
          <w:szCs w:val="32"/>
        </w:rPr>
        <w:t>乙方须按双方签订的协议、合同要求承担全部的质量、安全、效益、风险责任。</w:t>
      </w:r>
    </w:p>
    <w:p>
      <w:pPr>
        <w:overflowPunct/>
        <w:adjustRightInd/>
        <w:snapToGrid/>
        <w:spacing w:line="560" w:lineRule="exact"/>
        <w:ind w:firstLine="640"/>
        <w:rPr>
          <w:szCs w:val="32"/>
        </w:rPr>
      </w:pPr>
      <w:r>
        <w:rPr>
          <w:rFonts w:hint="eastAsia"/>
          <w:szCs w:val="32"/>
        </w:rPr>
        <w:t>3.</w:t>
      </w:r>
      <w:r>
        <w:rPr>
          <w:szCs w:val="32"/>
        </w:rPr>
        <w:t>乙方配送的食材必须通过正规渠道订购，一旦购入并使用通过非正规渠道的原材料，乙方必须承担相应的经济和法律责任，甲方有权根据事件决定是否解除供货配送协议。</w:t>
      </w:r>
    </w:p>
    <w:p>
      <w:pPr>
        <w:overflowPunct/>
        <w:adjustRightInd/>
        <w:snapToGrid/>
        <w:spacing w:line="560" w:lineRule="exact"/>
        <w:ind w:firstLine="640"/>
        <w:rPr>
          <w:szCs w:val="32"/>
        </w:rPr>
      </w:pPr>
      <w:r>
        <w:rPr>
          <w:rFonts w:hint="eastAsia"/>
          <w:szCs w:val="32"/>
        </w:rPr>
        <w:t>4.</w:t>
      </w:r>
      <w:r>
        <w:rPr>
          <w:szCs w:val="32"/>
        </w:rPr>
        <w:t>甲方对所有产品的质量要求为同类产品中综合质量中等及以上的产品。所有品牌必须是XXXX市主城区各类市场上有售的。</w:t>
      </w:r>
    </w:p>
    <w:p>
      <w:pPr>
        <w:overflowPunct/>
        <w:adjustRightInd/>
        <w:snapToGrid/>
        <w:spacing w:line="560" w:lineRule="exact"/>
        <w:ind w:firstLine="640"/>
        <w:rPr>
          <w:szCs w:val="32"/>
        </w:rPr>
      </w:pPr>
      <w:r>
        <w:rPr>
          <w:rFonts w:hint="eastAsia"/>
          <w:szCs w:val="32"/>
        </w:rPr>
        <w:t>5.</w:t>
      </w:r>
      <w:r>
        <w:rPr>
          <w:szCs w:val="32"/>
        </w:rPr>
        <w:t>乙方应严格遵守《食品安全法》和《动物检疫法》等相关规定，严格保证食品质量符合国家相关产品质量标准，符合国家各级强制性规范的要求。在供货</w:t>
      </w:r>
      <w:r>
        <w:rPr>
          <w:rFonts w:hint="eastAsia"/>
          <w:szCs w:val="32"/>
          <w:lang w:eastAsia="zh-CN"/>
        </w:rPr>
        <w:t>期间</w:t>
      </w:r>
      <w:r>
        <w:rPr>
          <w:szCs w:val="32"/>
        </w:rPr>
        <w:t>如出现因乙方原因，导致食用者出现食物中毒的事故发生，乙方应对此承担一切法律责任。</w:t>
      </w:r>
    </w:p>
    <w:p>
      <w:pPr>
        <w:overflowPunct/>
        <w:adjustRightInd/>
        <w:snapToGrid/>
        <w:spacing w:line="560" w:lineRule="exact"/>
        <w:ind w:firstLine="640"/>
        <w:rPr>
          <w:rFonts w:eastAsia="黑体"/>
          <w:szCs w:val="32"/>
        </w:rPr>
      </w:pPr>
    </w:p>
    <w:p>
      <w:pPr>
        <w:overflowPunct/>
        <w:adjustRightInd/>
        <w:snapToGrid/>
        <w:spacing w:line="560" w:lineRule="exact"/>
        <w:ind w:firstLine="640"/>
        <w:rPr>
          <w:rFonts w:eastAsia="黑体"/>
          <w:szCs w:val="32"/>
        </w:rPr>
      </w:pPr>
      <w:r>
        <w:rPr>
          <w:rFonts w:eastAsia="黑体"/>
          <w:szCs w:val="32"/>
        </w:rPr>
        <w:t>十二、协议生效</w:t>
      </w:r>
    </w:p>
    <w:p>
      <w:pPr>
        <w:overflowPunct/>
        <w:adjustRightInd/>
        <w:snapToGrid/>
        <w:spacing w:line="560" w:lineRule="exact"/>
        <w:ind w:firstLine="640"/>
        <w:rPr>
          <w:szCs w:val="32"/>
        </w:rPr>
      </w:pPr>
      <w:r>
        <w:rPr>
          <w:szCs w:val="32"/>
        </w:rPr>
        <w:t>本协议在双方法定代表人或双方授权代表签字并加盖公章（或合同章）后生效，自入围协议签订之日起一年。</w:t>
      </w:r>
    </w:p>
    <w:p>
      <w:pPr>
        <w:overflowPunct/>
        <w:adjustRightInd/>
        <w:snapToGrid/>
        <w:spacing w:line="560" w:lineRule="exact"/>
        <w:ind w:firstLine="640"/>
        <w:rPr>
          <w:szCs w:val="32"/>
        </w:rPr>
      </w:pPr>
      <w:r>
        <w:rPr>
          <w:szCs w:val="32"/>
        </w:rPr>
        <w:t>鉴于</w:t>
      </w:r>
      <w:r>
        <w:rPr>
          <w:rFonts w:hint="eastAsia"/>
          <w:szCs w:val="32"/>
        </w:rPr>
        <w:t>学校</w:t>
      </w:r>
      <w:r>
        <w:rPr>
          <w:szCs w:val="32"/>
        </w:rPr>
        <w:t>食材招标的特殊性和公益性，本协议在格式文本基础上，由甲乙双方根据实际情况修改后生成，乙方确认对协议的所有内容都全面准确了解，并在协议签订现场抄录以下文字：</w:t>
      </w:r>
    </w:p>
    <w:p>
      <w:pPr>
        <w:overflowPunct/>
        <w:adjustRightInd/>
        <w:snapToGrid/>
        <w:spacing w:line="560" w:lineRule="exact"/>
        <w:ind w:firstLine="640"/>
        <w:rPr>
          <w:szCs w:val="32"/>
        </w:rPr>
      </w:pPr>
      <w:r>
        <w:rPr>
          <w:szCs w:val="32"/>
        </w:rPr>
        <w:t>乙方确认已经全面准确了解本协议内容，特别是</w:t>
      </w:r>
      <w:r>
        <w:rPr>
          <w:rFonts w:hint="eastAsia"/>
          <w:szCs w:val="32"/>
        </w:rPr>
        <w:t>实际竞价</w:t>
      </w:r>
      <w:r>
        <w:rPr>
          <w:szCs w:val="32"/>
        </w:rPr>
        <w:t>、监管、廉政、配送、卫生、服务分值等要求和违约责任。</w:t>
      </w:r>
    </w:p>
    <w:p>
      <w:pPr>
        <w:overflowPunct/>
        <w:adjustRightInd/>
        <w:snapToGrid/>
        <w:spacing w:line="560" w:lineRule="exact"/>
        <w:ind w:firstLine="640"/>
        <w:rPr>
          <w:szCs w:val="32"/>
        </w:rPr>
      </w:pPr>
      <w:r>
        <w:rPr>
          <w:szCs w:val="32"/>
        </w:rPr>
        <w:t xml:space="preserve">                                                     </w:t>
      </w:r>
    </w:p>
    <w:p>
      <w:pPr>
        <w:overflowPunct/>
        <w:adjustRightInd/>
        <w:snapToGrid/>
        <w:spacing w:line="560" w:lineRule="exact"/>
        <w:ind w:firstLine="640"/>
        <w:rPr>
          <w:szCs w:val="32"/>
        </w:rPr>
      </w:pPr>
      <w:r>
        <w:rPr>
          <w:szCs w:val="32"/>
        </w:rPr>
        <w:t xml:space="preserve">                                                                          </w:t>
      </w:r>
    </w:p>
    <w:p>
      <w:pPr>
        <w:overflowPunct/>
        <w:adjustRightInd/>
        <w:snapToGrid/>
        <w:spacing w:line="560" w:lineRule="exact"/>
        <w:ind w:firstLine="640"/>
        <w:rPr>
          <w:szCs w:val="32"/>
        </w:rPr>
      </w:pPr>
      <w:r>
        <w:rPr>
          <w:szCs w:val="32"/>
        </w:rPr>
        <w:t>甲方（章）：                 乙方（章）：</w:t>
      </w:r>
    </w:p>
    <w:p>
      <w:pPr>
        <w:overflowPunct/>
        <w:adjustRightInd/>
        <w:snapToGrid/>
        <w:spacing w:line="560" w:lineRule="exact"/>
        <w:ind w:firstLine="640"/>
        <w:rPr>
          <w:szCs w:val="32"/>
        </w:rPr>
      </w:pPr>
      <w:r>
        <w:rPr>
          <w:szCs w:val="32"/>
        </w:rPr>
        <w:t>地址：                       地址：</w:t>
      </w:r>
    </w:p>
    <w:p>
      <w:pPr>
        <w:overflowPunct/>
        <w:adjustRightInd/>
        <w:snapToGrid/>
        <w:spacing w:line="560" w:lineRule="exact"/>
        <w:ind w:firstLine="640"/>
        <w:rPr>
          <w:szCs w:val="32"/>
        </w:rPr>
      </w:pPr>
      <w:r>
        <w:rPr>
          <w:szCs w:val="32"/>
        </w:rPr>
        <w:t>法定代理人：                 法定代理人：</w:t>
      </w:r>
    </w:p>
    <w:p>
      <w:pPr>
        <w:overflowPunct/>
        <w:adjustRightInd/>
        <w:snapToGrid/>
        <w:spacing w:line="560" w:lineRule="exact"/>
        <w:ind w:firstLine="640"/>
        <w:rPr>
          <w:szCs w:val="32"/>
        </w:rPr>
      </w:pPr>
      <w:r>
        <w:rPr>
          <w:szCs w:val="32"/>
        </w:rPr>
        <w:t>委托代理人：                 委托代理人：</w:t>
      </w:r>
    </w:p>
    <w:p>
      <w:pPr>
        <w:overflowPunct/>
        <w:adjustRightInd/>
        <w:snapToGrid/>
        <w:spacing w:line="560" w:lineRule="exact"/>
        <w:ind w:firstLine="640"/>
        <w:rPr>
          <w:szCs w:val="32"/>
        </w:rPr>
      </w:pPr>
      <w:r>
        <w:rPr>
          <w:szCs w:val="32"/>
        </w:rPr>
        <w:t xml:space="preserve">电话：                       电话：               </w:t>
      </w:r>
    </w:p>
    <w:p>
      <w:pPr>
        <w:overflowPunct/>
        <w:adjustRightInd/>
        <w:snapToGrid/>
        <w:spacing w:line="560" w:lineRule="exact"/>
        <w:ind w:firstLine="640"/>
        <w:rPr>
          <w:szCs w:val="32"/>
        </w:rPr>
      </w:pPr>
      <w:r>
        <w:rPr>
          <w:szCs w:val="32"/>
        </w:rPr>
        <w:t xml:space="preserve">传真：                       传真： </w:t>
      </w:r>
    </w:p>
    <w:p>
      <w:pPr>
        <w:overflowPunct/>
        <w:adjustRightInd/>
        <w:snapToGrid/>
        <w:spacing w:line="560" w:lineRule="exact"/>
        <w:ind w:firstLine="640"/>
        <w:rPr>
          <w:szCs w:val="32"/>
        </w:rPr>
      </w:pPr>
      <w:r>
        <w:rPr>
          <w:szCs w:val="32"/>
        </w:rPr>
        <w:t xml:space="preserve">邮政编码：                   邮政编码：   </w:t>
      </w:r>
    </w:p>
    <w:p>
      <w:pPr>
        <w:overflowPunct/>
        <w:adjustRightInd/>
        <w:snapToGrid/>
        <w:spacing w:line="560" w:lineRule="exact"/>
        <w:ind w:firstLine="640"/>
        <w:rPr>
          <w:szCs w:val="32"/>
        </w:rPr>
      </w:pPr>
      <w:r>
        <w:rPr>
          <w:szCs w:val="32"/>
        </w:rPr>
        <w:t>签订日期：   年 月 日        签订日期：   年  月  日</w:t>
      </w:r>
    </w:p>
    <w:p>
      <w:pPr>
        <w:overflowPunct/>
        <w:adjustRightInd/>
        <w:snapToGrid/>
        <w:spacing w:line="560" w:lineRule="exact"/>
        <w:ind w:firstLine="0" w:firstLineChars="0"/>
        <w:rPr>
          <w:szCs w:val="32"/>
        </w:rPr>
      </w:pPr>
      <w:r>
        <w:rPr>
          <w:szCs w:val="32"/>
        </w:rPr>
        <w:br w:type="page"/>
      </w:r>
    </w:p>
    <w:p>
      <w:pPr>
        <w:keepNext/>
        <w:keepLines/>
        <w:pageBreakBefore/>
        <w:overflowPunct/>
        <w:snapToGrid/>
        <w:spacing w:before="340" w:after="330" w:line="560" w:lineRule="exact"/>
        <w:ind w:firstLine="0" w:firstLineChars="0"/>
        <w:jc w:val="center"/>
        <w:outlineLvl w:val="0"/>
        <w:rPr>
          <w:rFonts w:eastAsia="方正小标宋简体"/>
          <w:kern w:val="44"/>
          <w:sz w:val="44"/>
          <w:szCs w:val="44"/>
        </w:rPr>
      </w:pPr>
      <w:bookmarkStart w:id="55" w:name="_Toc12314"/>
      <w:r>
        <w:rPr>
          <w:rFonts w:eastAsia="方正小标宋简体"/>
          <w:kern w:val="44"/>
          <w:sz w:val="44"/>
          <w:szCs w:val="44"/>
        </w:rPr>
        <w:t xml:space="preserve">第六章 </w:t>
      </w:r>
      <w:bookmarkEnd w:id="53"/>
      <w:r>
        <w:rPr>
          <w:rFonts w:eastAsia="方正小标宋简体"/>
          <w:kern w:val="44"/>
          <w:sz w:val="44"/>
          <w:szCs w:val="44"/>
        </w:rPr>
        <w:t>资格文件格式</w:t>
      </w:r>
      <w:bookmarkEnd w:id="55"/>
    </w:p>
    <w:p>
      <w:pPr>
        <w:overflowPunct/>
        <w:snapToGrid/>
        <w:spacing w:line="560" w:lineRule="exact"/>
        <w:ind w:firstLine="0" w:firstLineChars="0"/>
        <w:jc w:val="left"/>
        <w:rPr>
          <w:b/>
          <w:bCs/>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jc w:val="center"/>
        <w:rPr>
          <w:szCs w:val="32"/>
        </w:rPr>
      </w:pPr>
      <w:r>
        <w:rPr>
          <w:szCs w:val="32"/>
        </w:rPr>
        <w:t>（项目名称）</w:t>
      </w:r>
    </w:p>
    <w:p>
      <w:pPr>
        <w:overflowPunct/>
        <w:adjustRightInd/>
        <w:snapToGrid/>
        <w:spacing w:line="560" w:lineRule="exact"/>
        <w:ind w:firstLine="0" w:firstLineChars="0"/>
        <w:jc w:val="center"/>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jc w:val="center"/>
        <w:rPr>
          <w:szCs w:val="32"/>
        </w:rPr>
      </w:pPr>
      <w:r>
        <w:rPr>
          <w:szCs w:val="32"/>
        </w:rPr>
        <w:t>资格文件</w:t>
      </w: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jc w:val="center"/>
        <w:rPr>
          <w:b/>
          <w:bCs/>
          <w:szCs w:val="32"/>
          <w:u w:val="single"/>
        </w:rPr>
      </w:pPr>
      <w:r>
        <w:rPr>
          <w:b/>
          <w:bCs/>
          <w:szCs w:val="32"/>
        </w:rPr>
        <w:t>投标人：（盖单位章）</w:t>
      </w:r>
    </w:p>
    <w:p>
      <w:pPr>
        <w:overflowPunct/>
        <w:adjustRightInd/>
        <w:snapToGrid/>
        <w:spacing w:line="560" w:lineRule="exact"/>
        <w:ind w:firstLine="0" w:firstLineChars="0"/>
        <w:jc w:val="center"/>
        <w:rPr>
          <w:b/>
          <w:bCs/>
          <w:szCs w:val="32"/>
        </w:rPr>
      </w:pPr>
      <w:r>
        <w:rPr>
          <w:b/>
          <w:bCs/>
          <w:szCs w:val="32"/>
        </w:rPr>
        <w:t>法定代表人或其委托代理人：（签字或签章）</w:t>
      </w:r>
    </w:p>
    <w:p>
      <w:pPr>
        <w:overflowPunct/>
        <w:adjustRightInd/>
        <w:snapToGrid/>
        <w:spacing w:line="560" w:lineRule="exact"/>
        <w:ind w:firstLine="0" w:firstLineChars="0"/>
        <w:jc w:val="center"/>
        <w:rPr>
          <w:b/>
          <w:bCs/>
          <w:szCs w:val="32"/>
        </w:rPr>
      </w:pPr>
      <w:r>
        <w:rPr>
          <w:b/>
          <w:bCs/>
          <w:szCs w:val="32"/>
        </w:rPr>
        <w:t xml:space="preserve">年 月 日 </w:t>
      </w:r>
    </w:p>
    <w:p>
      <w:pPr>
        <w:overflowPunct/>
        <w:adjustRightInd/>
        <w:snapToGrid/>
        <w:spacing w:before="439" w:beforeLines="100" w:after="439" w:afterLines="100" w:line="560" w:lineRule="exact"/>
        <w:ind w:firstLine="0" w:firstLineChars="0"/>
        <w:rPr>
          <w:szCs w:val="32"/>
        </w:rPr>
      </w:pPr>
    </w:p>
    <w:p>
      <w:pPr>
        <w:overflowPunct/>
        <w:adjustRightInd/>
        <w:snapToGrid/>
        <w:spacing w:before="439" w:beforeLines="100" w:after="439" w:afterLines="100"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pPr>
        <w:overflowPunct/>
        <w:adjustRightInd/>
        <w:snapToGrid/>
        <w:spacing w:line="560" w:lineRule="exact"/>
        <w:ind w:firstLine="0" w:firstLineChars="0"/>
        <w:jc w:val="center"/>
        <w:rPr>
          <w:szCs w:val="32"/>
        </w:rPr>
      </w:pPr>
      <w:bookmarkStart w:id="56" w:name="_Hlk66377770"/>
      <w:r>
        <w:rPr>
          <w:szCs w:val="32"/>
        </w:rPr>
        <w:t>注：投标人根据资格文件编制顺序制作目录（须生成页码）</w:t>
      </w:r>
    </w:p>
    <w:bookmarkEnd w:id="56"/>
    <w:p>
      <w:pPr>
        <w:keepNext/>
        <w:keepLines/>
        <w:numPr>
          <w:ilvl w:val="1"/>
          <w:numId w:val="0"/>
        </w:numPr>
        <w:overflowPunct/>
        <w:snapToGrid/>
        <w:spacing w:before="260" w:after="260" w:line="560" w:lineRule="exact"/>
        <w:outlineLvl w:val="1"/>
        <w:rPr>
          <w:b/>
          <w:bCs/>
          <w:szCs w:val="32"/>
        </w:rPr>
      </w:pPr>
      <w:r>
        <w:rPr>
          <w:b/>
          <w:bCs/>
          <w:szCs w:val="32"/>
        </w:rPr>
        <w:br w:type="page"/>
      </w:r>
    </w:p>
    <w:p>
      <w:pPr>
        <w:keepNext/>
        <w:keepLines/>
        <w:numPr>
          <w:ilvl w:val="1"/>
          <w:numId w:val="4"/>
        </w:numPr>
        <w:overflowPunct/>
        <w:snapToGrid/>
        <w:spacing w:before="260" w:after="260" w:line="560" w:lineRule="exact"/>
        <w:ind w:firstLine="640"/>
        <w:outlineLvl w:val="1"/>
        <w:rPr>
          <w:rFonts w:eastAsia="黑体"/>
          <w:szCs w:val="32"/>
        </w:rPr>
      </w:pPr>
      <w:bookmarkStart w:id="57" w:name="_Toc66375424"/>
      <w:bookmarkStart w:id="58" w:name="_Toc43917771"/>
      <w:r>
        <w:rPr>
          <w:rFonts w:eastAsia="黑体"/>
          <w:szCs w:val="32"/>
        </w:rPr>
        <w:t>附件一、投标申请及声明格式</w:t>
      </w:r>
      <w:bookmarkEnd w:id="57"/>
      <w:bookmarkEnd w:id="58"/>
    </w:p>
    <w:p>
      <w:pPr>
        <w:shd w:val="clear" w:color="auto" w:fill="FFFFFF"/>
        <w:overflowPunct/>
        <w:adjustRightInd/>
        <w:snapToGrid/>
        <w:spacing w:line="560" w:lineRule="exact"/>
        <w:ind w:firstLine="0" w:firstLineChars="0"/>
        <w:jc w:val="center"/>
        <w:rPr>
          <w:b/>
          <w:kern w:val="0"/>
          <w:sz w:val="30"/>
          <w:szCs w:val="30"/>
        </w:rPr>
      </w:pPr>
      <w:r>
        <w:rPr>
          <w:b/>
          <w:kern w:val="0"/>
          <w:sz w:val="30"/>
          <w:szCs w:val="30"/>
        </w:rPr>
        <w:t>投标申请及声明</w:t>
      </w:r>
    </w:p>
    <w:p>
      <w:pPr>
        <w:shd w:val="clear" w:color="auto" w:fill="FFFFFF"/>
        <w:overflowPunct/>
        <w:adjustRightInd/>
        <w:snapToGrid/>
        <w:spacing w:line="560" w:lineRule="exact"/>
        <w:ind w:firstLine="0" w:firstLineChars="0"/>
        <w:rPr>
          <w:kern w:val="0"/>
          <w:szCs w:val="32"/>
        </w:rPr>
      </w:pPr>
    </w:p>
    <w:p>
      <w:pPr>
        <w:shd w:val="clear" w:color="auto" w:fill="FFFFFF"/>
        <w:overflowPunct/>
        <w:adjustRightInd/>
        <w:snapToGrid/>
        <w:spacing w:line="500" w:lineRule="exact"/>
        <w:ind w:firstLine="0" w:firstLineChars="0"/>
        <w:rPr>
          <w:kern w:val="0"/>
          <w:sz w:val="28"/>
          <w:szCs w:val="28"/>
        </w:rPr>
      </w:pPr>
      <w:r>
        <w:rPr>
          <w:kern w:val="0"/>
          <w:sz w:val="28"/>
          <w:szCs w:val="28"/>
        </w:rPr>
        <w:t>致✕✕县（市、区）</w:t>
      </w:r>
      <w:r>
        <w:rPr>
          <w:rFonts w:hint="eastAsia"/>
          <w:kern w:val="0"/>
          <w:sz w:val="28"/>
          <w:szCs w:val="28"/>
        </w:rPr>
        <w:t>学校</w:t>
      </w:r>
      <w:r>
        <w:rPr>
          <w:kern w:val="0"/>
          <w:sz w:val="28"/>
          <w:szCs w:val="28"/>
        </w:rPr>
        <w:t>成立食材采购联合体：</w:t>
      </w:r>
    </w:p>
    <w:p>
      <w:pPr>
        <w:shd w:val="clear" w:color="auto" w:fill="FFFFFF"/>
        <w:overflowPunct/>
        <w:adjustRightInd/>
        <w:snapToGrid/>
        <w:spacing w:line="500" w:lineRule="exact"/>
        <w:ind w:firstLine="560"/>
        <w:rPr>
          <w:kern w:val="0"/>
          <w:sz w:val="28"/>
          <w:szCs w:val="28"/>
        </w:rPr>
      </w:pPr>
      <w:r>
        <w:rPr>
          <w:kern w:val="0"/>
          <w:sz w:val="28"/>
          <w:szCs w:val="28"/>
        </w:rPr>
        <w:t>根据贵方</w:t>
      </w:r>
      <w:r>
        <w:rPr>
          <w:kern w:val="0"/>
          <w:sz w:val="28"/>
          <w:szCs w:val="28"/>
          <w:u w:val="single"/>
        </w:rPr>
        <w:t xml:space="preserve">          </w:t>
      </w:r>
      <w:r>
        <w:rPr>
          <w:bCs/>
          <w:kern w:val="0"/>
          <w:sz w:val="28"/>
          <w:szCs w:val="28"/>
        </w:rPr>
        <w:t>（</w:t>
      </w:r>
      <w:r>
        <w:rPr>
          <w:kern w:val="0"/>
          <w:sz w:val="28"/>
          <w:szCs w:val="28"/>
        </w:rPr>
        <w:t>项目名称）</w:t>
      </w:r>
      <w:r>
        <w:rPr>
          <w:kern w:val="0"/>
          <w:sz w:val="28"/>
          <w:szCs w:val="28"/>
          <w:u w:val="single"/>
        </w:rPr>
        <w:t xml:space="preserve">          </w:t>
      </w:r>
      <w:r>
        <w:rPr>
          <w:kern w:val="0"/>
          <w:sz w:val="28"/>
          <w:szCs w:val="28"/>
        </w:rPr>
        <w:t>（项目编号）投标邀请，正式授权下述签字人</w:t>
      </w:r>
      <w:r>
        <w:rPr>
          <w:kern w:val="0"/>
          <w:sz w:val="28"/>
          <w:szCs w:val="28"/>
          <w:u w:val="single"/>
        </w:rPr>
        <w:t xml:space="preserve">          </w:t>
      </w:r>
      <w:r>
        <w:rPr>
          <w:kern w:val="0"/>
          <w:sz w:val="28"/>
          <w:szCs w:val="28"/>
        </w:rPr>
        <w:t>(姓名和职务)代表投标人</w:t>
      </w:r>
      <w:r>
        <w:rPr>
          <w:kern w:val="0"/>
          <w:sz w:val="28"/>
          <w:szCs w:val="28"/>
          <w:u w:val="single"/>
        </w:rPr>
        <w:t xml:space="preserve">      </w:t>
      </w:r>
      <w:r>
        <w:rPr>
          <w:kern w:val="0"/>
          <w:sz w:val="28"/>
          <w:szCs w:val="28"/>
        </w:rPr>
        <w:t>（投标人名称），提交资格文件。</w:t>
      </w:r>
    </w:p>
    <w:p>
      <w:pPr>
        <w:shd w:val="clear" w:color="auto" w:fill="FFFFFF"/>
        <w:overflowPunct/>
        <w:adjustRightInd/>
        <w:snapToGrid/>
        <w:spacing w:line="500" w:lineRule="exact"/>
        <w:ind w:firstLineChars="0"/>
        <w:rPr>
          <w:kern w:val="0"/>
          <w:sz w:val="28"/>
          <w:szCs w:val="28"/>
        </w:rPr>
      </w:pPr>
      <w:r>
        <w:rPr>
          <w:kern w:val="0"/>
          <w:sz w:val="28"/>
          <w:szCs w:val="28"/>
        </w:rPr>
        <w:t>据此函，签字人兹宣布声明和承诺如下：</w:t>
      </w:r>
    </w:p>
    <w:p>
      <w:pPr>
        <w:shd w:val="clear" w:color="auto" w:fill="FFFFFF"/>
        <w:overflowPunct/>
        <w:adjustRightInd/>
        <w:snapToGrid/>
        <w:spacing w:line="500" w:lineRule="exact"/>
        <w:ind w:firstLineChars="0"/>
        <w:rPr>
          <w:kern w:val="0"/>
          <w:sz w:val="28"/>
          <w:szCs w:val="28"/>
        </w:rPr>
      </w:pPr>
      <w:r>
        <w:rPr>
          <w:rFonts w:hint="eastAsia"/>
          <w:kern w:val="0"/>
          <w:sz w:val="28"/>
          <w:szCs w:val="28"/>
        </w:rPr>
        <w:t>1.</w:t>
      </w:r>
      <w:r>
        <w:rPr>
          <w:b/>
          <w:bCs/>
          <w:kern w:val="0"/>
          <w:sz w:val="28"/>
          <w:szCs w:val="28"/>
        </w:rPr>
        <w:t>我们的资格条件完全符合本次</w:t>
      </w:r>
      <w:r>
        <w:rPr>
          <w:rFonts w:hint="eastAsia"/>
          <w:b/>
          <w:bCs/>
          <w:kern w:val="0"/>
          <w:sz w:val="28"/>
          <w:szCs w:val="28"/>
        </w:rPr>
        <w:t>资格审查</w:t>
      </w:r>
      <w:r>
        <w:rPr>
          <w:b/>
          <w:bCs/>
          <w:kern w:val="0"/>
          <w:sz w:val="28"/>
          <w:szCs w:val="28"/>
        </w:rPr>
        <w:t>要求</w:t>
      </w:r>
      <w:r>
        <w:rPr>
          <w:kern w:val="0"/>
          <w:sz w:val="28"/>
          <w:szCs w:val="28"/>
        </w:rPr>
        <w:t>，我们同意并向贵方提供了与投标有关的所有证据和资料。</w:t>
      </w:r>
    </w:p>
    <w:p>
      <w:pPr>
        <w:shd w:val="clear" w:color="auto" w:fill="FFFFFF"/>
        <w:overflowPunct/>
        <w:adjustRightInd/>
        <w:snapToGrid/>
        <w:spacing w:line="500" w:lineRule="exact"/>
        <w:ind w:firstLineChars="0"/>
        <w:rPr>
          <w:kern w:val="0"/>
          <w:sz w:val="28"/>
          <w:szCs w:val="28"/>
        </w:rPr>
      </w:pPr>
      <w:r>
        <w:rPr>
          <w:rFonts w:hint="eastAsia"/>
          <w:kern w:val="0"/>
          <w:sz w:val="28"/>
          <w:szCs w:val="28"/>
        </w:rPr>
        <w:t>2.</w:t>
      </w:r>
      <w:bookmarkStart w:id="59" w:name="_Hlk44577678"/>
      <w:r>
        <w:rPr>
          <w:kern w:val="0"/>
          <w:sz w:val="28"/>
          <w:szCs w:val="28"/>
        </w:rPr>
        <w:t>本项目交付时间为：</w:t>
      </w:r>
      <w:r>
        <w:rPr>
          <w:kern w:val="0"/>
          <w:sz w:val="28"/>
          <w:szCs w:val="28"/>
          <w:u w:val="single"/>
        </w:rPr>
        <w:t>满足</w:t>
      </w:r>
      <w:r>
        <w:rPr>
          <w:rFonts w:hint="eastAsia"/>
          <w:kern w:val="0"/>
          <w:sz w:val="28"/>
          <w:szCs w:val="28"/>
          <w:u w:val="single"/>
        </w:rPr>
        <w:t>资格审查</w:t>
      </w:r>
      <w:r>
        <w:rPr>
          <w:kern w:val="0"/>
          <w:sz w:val="28"/>
          <w:szCs w:val="28"/>
          <w:u w:val="single"/>
        </w:rPr>
        <w:t>文件要求</w:t>
      </w:r>
      <w:r>
        <w:rPr>
          <w:kern w:val="0"/>
          <w:sz w:val="28"/>
          <w:szCs w:val="28"/>
        </w:rPr>
        <w:t>。</w:t>
      </w:r>
      <w:bookmarkEnd w:id="59"/>
    </w:p>
    <w:p>
      <w:pPr>
        <w:shd w:val="clear" w:color="auto" w:fill="FFFFFF"/>
        <w:overflowPunct/>
        <w:adjustRightInd/>
        <w:snapToGrid/>
        <w:spacing w:line="500" w:lineRule="exact"/>
        <w:ind w:firstLineChars="0"/>
        <w:rPr>
          <w:kern w:val="0"/>
          <w:sz w:val="28"/>
          <w:szCs w:val="28"/>
        </w:rPr>
      </w:pPr>
      <w:r>
        <w:rPr>
          <w:rFonts w:hint="eastAsia"/>
          <w:kern w:val="0"/>
          <w:sz w:val="28"/>
          <w:szCs w:val="28"/>
        </w:rPr>
        <w:t>3.</w:t>
      </w:r>
      <w:r>
        <w:rPr>
          <w:kern w:val="0"/>
          <w:sz w:val="28"/>
          <w:szCs w:val="28"/>
        </w:rPr>
        <w:t>我们已详细阅读全部</w:t>
      </w:r>
      <w:r>
        <w:rPr>
          <w:rFonts w:hint="eastAsia"/>
          <w:kern w:val="0"/>
          <w:sz w:val="28"/>
          <w:szCs w:val="28"/>
        </w:rPr>
        <w:t>资格审查</w:t>
      </w:r>
      <w:r>
        <w:rPr>
          <w:kern w:val="0"/>
          <w:sz w:val="28"/>
          <w:szCs w:val="28"/>
        </w:rPr>
        <w:t>文件及其有效补充文件，我们放弃对</w:t>
      </w:r>
      <w:r>
        <w:rPr>
          <w:rFonts w:hint="eastAsia"/>
          <w:kern w:val="0"/>
          <w:sz w:val="28"/>
          <w:szCs w:val="28"/>
        </w:rPr>
        <w:t>资格审查</w:t>
      </w:r>
      <w:r>
        <w:rPr>
          <w:kern w:val="0"/>
          <w:sz w:val="28"/>
          <w:szCs w:val="28"/>
        </w:rPr>
        <w:t>文件任何误解的权利，提交资格文件后，</w:t>
      </w:r>
      <w:r>
        <w:rPr>
          <w:b/>
          <w:bCs/>
          <w:kern w:val="0"/>
          <w:sz w:val="28"/>
          <w:szCs w:val="28"/>
        </w:rPr>
        <w:t>不对</w:t>
      </w:r>
      <w:r>
        <w:rPr>
          <w:rFonts w:hint="eastAsia"/>
          <w:b/>
          <w:bCs/>
          <w:kern w:val="0"/>
          <w:sz w:val="28"/>
          <w:szCs w:val="28"/>
        </w:rPr>
        <w:t>资格审查</w:t>
      </w:r>
      <w:r>
        <w:rPr>
          <w:b/>
          <w:bCs/>
          <w:kern w:val="0"/>
          <w:sz w:val="28"/>
          <w:szCs w:val="28"/>
        </w:rPr>
        <w:t>文件本身提出质疑</w:t>
      </w:r>
      <w:r>
        <w:rPr>
          <w:kern w:val="0"/>
          <w:sz w:val="28"/>
          <w:szCs w:val="28"/>
        </w:rPr>
        <w:t>。</w:t>
      </w:r>
    </w:p>
    <w:p>
      <w:pPr>
        <w:shd w:val="clear" w:color="auto" w:fill="FFFFFF"/>
        <w:overflowPunct/>
        <w:adjustRightInd/>
        <w:snapToGrid/>
        <w:spacing w:line="500" w:lineRule="exact"/>
        <w:ind w:firstLineChars="0"/>
        <w:rPr>
          <w:kern w:val="0"/>
          <w:sz w:val="28"/>
          <w:szCs w:val="28"/>
        </w:rPr>
      </w:pPr>
      <w:r>
        <w:rPr>
          <w:rFonts w:hint="eastAsia"/>
          <w:kern w:val="0"/>
          <w:sz w:val="28"/>
          <w:szCs w:val="28"/>
        </w:rPr>
        <w:t>4.</w:t>
      </w:r>
      <w:r>
        <w:rPr>
          <w:kern w:val="0"/>
          <w:sz w:val="28"/>
          <w:szCs w:val="28"/>
        </w:rPr>
        <w:t>一旦我方中标，我方将根据</w:t>
      </w:r>
      <w:r>
        <w:rPr>
          <w:rFonts w:hint="eastAsia"/>
          <w:kern w:val="0"/>
          <w:sz w:val="28"/>
          <w:szCs w:val="28"/>
        </w:rPr>
        <w:t>资格审查</w:t>
      </w:r>
      <w:r>
        <w:rPr>
          <w:kern w:val="0"/>
          <w:sz w:val="28"/>
          <w:szCs w:val="28"/>
        </w:rPr>
        <w:t>文件的规定严格履行合同，并保证于承诺的时间完成相关货物和配套服务，交付采购人验收、使用。</w:t>
      </w:r>
    </w:p>
    <w:p>
      <w:pPr>
        <w:shd w:val="clear" w:color="auto" w:fill="FFFFFF"/>
        <w:overflowPunct/>
        <w:adjustRightInd/>
        <w:snapToGrid/>
        <w:spacing w:line="500" w:lineRule="exact"/>
        <w:ind w:firstLineChars="0"/>
        <w:rPr>
          <w:kern w:val="0"/>
          <w:sz w:val="28"/>
          <w:szCs w:val="28"/>
        </w:rPr>
      </w:pPr>
      <w:r>
        <w:rPr>
          <w:rFonts w:hint="eastAsia"/>
          <w:kern w:val="0"/>
          <w:sz w:val="28"/>
          <w:szCs w:val="28"/>
        </w:rPr>
        <w:t>5.</w:t>
      </w:r>
      <w:r>
        <w:rPr>
          <w:kern w:val="0"/>
          <w:sz w:val="28"/>
          <w:szCs w:val="28"/>
        </w:rPr>
        <w:t>我方决不提供虚假材料谋取中标、决不采取不正当手段诋毁、排挤其他投标人、决不与采购人、</w:t>
      </w:r>
      <w:r>
        <w:rPr>
          <w:rFonts w:hint="eastAsia"/>
          <w:kern w:val="0"/>
          <w:sz w:val="28"/>
          <w:szCs w:val="28"/>
        </w:rPr>
        <w:t>其他</w:t>
      </w:r>
      <w:r>
        <w:rPr>
          <w:kern w:val="0"/>
          <w:sz w:val="28"/>
          <w:szCs w:val="28"/>
        </w:rPr>
        <w:t>投标人或者代理机构恶意串通、决不向采购人、代理机构工作人员和评委进行商业贿赂、决不在</w:t>
      </w:r>
      <w:r>
        <w:rPr>
          <w:rFonts w:hint="eastAsia"/>
          <w:kern w:val="0"/>
          <w:sz w:val="28"/>
          <w:szCs w:val="28"/>
        </w:rPr>
        <w:t>资格审查</w:t>
      </w:r>
      <w:r>
        <w:rPr>
          <w:kern w:val="0"/>
          <w:sz w:val="28"/>
          <w:szCs w:val="28"/>
        </w:rPr>
        <w:t>过程中与采购人进行协商谈判、决不拒绝有关部门监督检查或提供虚假情况，如有违反，无条件接受贵方及相关管理部门的处罚。</w:t>
      </w:r>
    </w:p>
    <w:p>
      <w:pPr>
        <w:shd w:val="clear" w:color="auto" w:fill="FFFFFF"/>
        <w:overflowPunct/>
        <w:adjustRightInd/>
        <w:snapToGrid/>
        <w:spacing w:line="500" w:lineRule="exact"/>
        <w:ind w:firstLineChars="0"/>
        <w:rPr>
          <w:kern w:val="0"/>
          <w:sz w:val="28"/>
          <w:szCs w:val="28"/>
        </w:rPr>
      </w:pPr>
      <w:r>
        <w:rPr>
          <w:rFonts w:hint="eastAsia"/>
          <w:kern w:val="0"/>
          <w:sz w:val="28"/>
          <w:szCs w:val="28"/>
        </w:rPr>
        <w:t>6.</w:t>
      </w:r>
      <w:r>
        <w:rPr>
          <w:kern w:val="0"/>
          <w:sz w:val="28"/>
          <w:szCs w:val="28"/>
        </w:rPr>
        <w:t>与</w:t>
      </w:r>
      <w:r>
        <w:rPr>
          <w:rFonts w:hint="eastAsia"/>
          <w:kern w:val="0"/>
          <w:sz w:val="28"/>
          <w:szCs w:val="28"/>
          <w:lang w:eastAsia="zh-CN"/>
        </w:rPr>
        <w:t>本次</w:t>
      </w:r>
      <w:r>
        <w:rPr>
          <w:kern w:val="0"/>
          <w:sz w:val="28"/>
          <w:szCs w:val="28"/>
        </w:rPr>
        <w:t>投标有关的正式联系方式为：</w:t>
      </w:r>
    </w:p>
    <w:p>
      <w:pPr>
        <w:shd w:val="clear" w:color="auto" w:fill="FFFFFF"/>
        <w:overflowPunct/>
        <w:adjustRightInd/>
        <w:snapToGrid/>
        <w:spacing w:line="500" w:lineRule="exact"/>
        <w:ind w:firstLineChars="0"/>
        <w:rPr>
          <w:kern w:val="0"/>
          <w:sz w:val="28"/>
          <w:szCs w:val="28"/>
        </w:rPr>
      </w:pPr>
      <w:r>
        <w:rPr>
          <w:kern w:val="0"/>
          <w:sz w:val="28"/>
          <w:szCs w:val="28"/>
        </w:rPr>
        <w:t>地址：</w:t>
      </w:r>
      <w:r>
        <w:rPr>
          <w:kern w:val="0"/>
          <w:sz w:val="28"/>
          <w:szCs w:val="28"/>
          <w:u w:val="single"/>
        </w:rPr>
        <w:t xml:space="preserve">                </w:t>
      </w:r>
    </w:p>
    <w:p>
      <w:pPr>
        <w:shd w:val="clear" w:color="auto" w:fill="FFFFFF"/>
        <w:overflowPunct/>
        <w:adjustRightInd/>
        <w:snapToGrid/>
        <w:spacing w:line="500" w:lineRule="exact"/>
        <w:ind w:firstLineChars="0"/>
        <w:rPr>
          <w:kern w:val="0"/>
          <w:sz w:val="28"/>
          <w:szCs w:val="28"/>
          <w:u w:val="single"/>
        </w:rPr>
      </w:pPr>
      <w:r>
        <w:rPr>
          <w:kern w:val="0"/>
          <w:sz w:val="28"/>
          <w:szCs w:val="28"/>
        </w:rPr>
        <w:t>电话：</w:t>
      </w:r>
      <w:r>
        <w:rPr>
          <w:kern w:val="0"/>
          <w:sz w:val="28"/>
          <w:szCs w:val="28"/>
          <w:u w:val="single"/>
        </w:rPr>
        <w:t xml:space="preserve">                </w:t>
      </w:r>
    </w:p>
    <w:p>
      <w:pPr>
        <w:shd w:val="clear" w:color="auto" w:fill="FFFFFF"/>
        <w:overflowPunct/>
        <w:adjustRightInd/>
        <w:snapToGrid/>
        <w:spacing w:line="500" w:lineRule="exact"/>
        <w:ind w:firstLineChars="0"/>
        <w:rPr>
          <w:kern w:val="0"/>
          <w:sz w:val="28"/>
          <w:szCs w:val="28"/>
        </w:rPr>
      </w:pPr>
      <w:r>
        <w:rPr>
          <w:kern w:val="0"/>
          <w:sz w:val="28"/>
          <w:szCs w:val="28"/>
        </w:rPr>
        <w:t>传真：</w:t>
      </w:r>
      <w:r>
        <w:rPr>
          <w:kern w:val="0"/>
          <w:sz w:val="28"/>
          <w:szCs w:val="28"/>
          <w:u w:val="single"/>
        </w:rPr>
        <w:t xml:space="preserve">                </w:t>
      </w:r>
    </w:p>
    <w:p>
      <w:pPr>
        <w:shd w:val="clear" w:color="auto" w:fill="FFFFFF"/>
        <w:overflowPunct/>
        <w:adjustRightInd/>
        <w:snapToGrid/>
        <w:spacing w:line="500" w:lineRule="exact"/>
        <w:ind w:firstLineChars="0"/>
        <w:rPr>
          <w:kern w:val="0"/>
          <w:sz w:val="28"/>
          <w:szCs w:val="28"/>
          <w:u w:val="single"/>
        </w:rPr>
      </w:pPr>
      <w:r>
        <w:rPr>
          <w:kern w:val="0"/>
          <w:sz w:val="28"/>
          <w:szCs w:val="28"/>
        </w:rPr>
        <w:t>开户银行：</w:t>
      </w:r>
      <w:r>
        <w:rPr>
          <w:kern w:val="0"/>
          <w:sz w:val="28"/>
          <w:szCs w:val="28"/>
          <w:u w:val="single"/>
        </w:rPr>
        <w:t xml:space="preserve">                                               </w:t>
      </w:r>
    </w:p>
    <w:p>
      <w:pPr>
        <w:shd w:val="clear" w:color="auto" w:fill="FFFFFF"/>
        <w:overflowPunct/>
        <w:adjustRightInd/>
        <w:snapToGrid/>
        <w:spacing w:line="500" w:lineRule="exact"/>
        <w:ind w:firstLineChars="0"/>
        <w:rPr>
          <w:kern w:val="0"/>
          <w:sz w:val="28"/>
          <w:szCs w:val="28"/>
          <w:u w:val="single"/>
        </w:rPr>
      </w:pPr>
      <w:r>
        <w:rPr>
          <w:kern w:val="0"/>
          <w:sz w:val="28"/>
          <w:szCs w:val="28"/>
        </w:rPr>
        <w:t>银行账号：</w:t>
      </w:r>
      <w:r>
        <w:rPr>
          <w:kern w:val="0"/>
          <w:sz w:val="28"/>
          <w:szCs w:val="28"/>
          <w:u w:val="single"/>
        </w:rPr>
        <w:t xml:space="preserve">                                               </w:t>
      </w:r>
    </w:p>
    <w:p>
      <w:pPr>
        <w:shd w:val="clear" w:color="auto" w:fill="FFFFFF"/>
        <w:overflowPunct/>
        <w:adjustRightInd/>
        <w:snapToGrid/>
        <w:spacing w:line="500" w:lineRule="exact"/>
        <w:ind w:firstLineChars="0"/>
        <w:rPr>
          <w:kern w:val="0"/>
          <w:sz w:val="28"/>
          <w:szCs w:val="28"/>
        </w:rPr>
      </w:pPr>
      <w:r>
        <w:rPr>
          <w:kern w:val="0"/>
          <w:sz w:val="28"/>
          <w:szCs w:val="28"/>
        </w:rPr>
        <w:t>投标人委托代理人姓名（签字或签章）：</w:t>
      </w:r>
      <w:r>
        <w:rPr>
          <w:kern w:val="0"/>
          <w:sz w:val="28"/>
          <w:szCs w:val="28"/>
          <w:u w:val="single"/>
        </w:rPr>
        <w:t xml:space="preserve">         </w:t>
      </w:r>
    </w:p>
    <w:p>
      <w:pPr>
        <w:shd w:val="clear" w:color="auto" w:fill="FFFFFF"/>
        <w:overflowPunct/>
        <w:adjustRightInd/>
        <w:snapToGrid/>
        <w:spacing w:line="500" w:lineRule="exact"/>
        <w:ind w:firstLineChars="0"/>
        <w:rPr>
          <w:kern w:val="0"/>
          <w:sz w:val="28"/>
          <w:szCs w:val="28"/>
        </w:rPr>
      </w:pPr>
      <w:r>
        <w:rPr>
          <w:kern w:val="0"/>
          <w:sz w:val="28"/>
          <w:szCs w:val="28"/>
        </w:rPr>
        <w:t>投标人名称：</w:t>
      </w:r>
      <w:r>
        <w:rPr>
          <w:kern w:val="0"/>
          <w:sz w:val="28"/>
          <w:szCs w:val="28"/>
          <w:u w:val="single"/>
        </w:rPr>
        <w:t xml:space="preserve">          </w:t>
      </w:r>
      <w:r>
        <w:rPr>
          <w:kern w:val="0"/>
          <w:sz w:val="28"/>
          <w:szCs w:val="28"/>
        </w:rPr>
        <w:t>（盖章）</w:t>
      </w:r>
    </w:p>
    <w:p>
      <w:pPr>
        <w:shd w:val="clear" w:color="auto" w:fill="FFFFFF"/>
        <w:overflowPunct/>
        <w:adjustRightInd/>
        <w:snapToGrid/>
        <w:spacing w:line="500" w:lineRule="exact"/>
        <w:ind w:firstLineChars="0"/>
        <w:rPr>
          <w:kern w:val="0"/>
          <w:sz w:val="28"/>
          <w:szCs w:val="28"/>
        </w:rPr>
      </w:pPr>
      <w:r>
        <w:rPr>
          <w:kern w:val="0"/>
          <w:sz w:val="28"/>
          <w:szCs w:val="28"/>
        </w:rPr>
        <w:t>日期：</w:t>
      </w:r>
      <w:r>
        <w:rPr>
          <w:kern w:val="0"/>
          <w:sz w:val="28"/>
          <w:szCs w:val="28"/>
          <w:u w:val="single"/>
        </w:rPr>
        <w:t xml:space="preserve">    </w:t>
      </w:r>
      <w:r>
        <w:rPr>
          <w:kern w:val="0"/>
          <w:sz w:val="28"/>
          <w:szCs w:val="28"/>
        </w:rPr>
        <w:t>年</w:t>
      </w:r>
      <w:r>
        <w:rPr>
          <w:kern w:val="0"/>
          <w:sz w:val="28"/>
          <w:szCs w:val="28"/>
          <w:u w:val="single"/>
        </w:rPr>
        <w:t xml:space="preserve">  </w:t>
      </w:r>
      <w:r>
        <w:rPr>
          <w:kern w:val="0"/>
          <w:sz w:val="28"/>
          <w:szCs w:val="28"/>
        </w:rPr>
        <w:t>月</w:t>
      </w:r>
      <w:r>
        <w:rPr>
          <w:kern w:val="0"/>
          <w:sz w:val="28"/>
          <w:szCs w:val="28"/>
          <w:u w:val="single"/>
        </w:rPr>
        <w:t xml:space="preserve">  </w:t>
      </w:r>
      <w:r>
        <w:rPr>
          <w:kern w:val="0"/>
          <w:sz w:val="28"/>
          <w:szCs w:val="28"/>
        </w:rPr>
        <w:t>日</w:t>
      </w:r>
    </w:p>
    <w:p>
      <w:pPr>
        <w:shd w:val="clear" w:color="auto" w:fill="FFFFFF"/>
        <w:overflowPunct/>
        <w:adjustRightInd/>
        <w:snapToGrid/>
        <w:spacing w:line="560" w:lineRule="exact"/>
        <w:ind w:firstLine="0" w:firstLineChars="0"/>
        <w:rPr>
          <w:kern w:val="0"/>
          <w:szCs w:val="32"/>
        </w:rPr>
      </w:pPr>
      <w:r>
        <w:rPr>
          <w:kern w:val="0"/>
          <w:szCs w:val="32"/>
        </w:rPr>
        <w:br w:type="page"/>
      </w:r>
    </w:p>
    <w:p>
      <w:pPr>
        <w:keepNext/>
        <w:keepLines/>
        <w:numPr>
          <w:ilvl w:val="1"/>
          <w:numId w:val="4"/>
        </w:numPr>
        <w:overflowPunct/>
        <w:snapToGrid/>
        <w:spacing w:before="260" w:after="260" w:line="560" w:lineRule="exact"/>
        <w:ind w:firstLine="640"/>
        <w:outlineLvl w:val="1"/>
        <w:rPr>
          <w:rFonts w:eastAsia="黑体"/>
          <w:szCs w:val="32"/>
        </w:rPr>
      </w:pPr>
      <w:bookmarkStart w:id="60" w:name="_Toc66375425"/>
      <w:bookmarkStart w:id="61" w:name="_Toc43917772"/>
      <w:r>
        <w:rPr>
          <w:rFonts w:eastAsia="黑体"/>
          <w:szCs w:val="32"/>
        </w:rPr>
        <w:t>附件二、法定代表人授权委托书格式</w:t>
      </w:r>
      <w:bookmarkEnd w:id="60"/>
      <w:bookmarkEnd w:id="61"/>
    </w:p>
    <w:p>
      <w:pPr>
        <w:shd w:val="clear" w:color="auto" w:fill="FFFFFF"/>
        <w:overflowPunct/>
        <w:adjustRightInd/>
        <w:snapToGrid/>
        <w:spacing w:line="560" w:lineRule="exact"/>
        <w:ind w:firstLine="720" w:firstLineChars="0"/>
        <w:rPr>
          <w:kern w:val="0"/>
          <w:szCs w:val="32"/>
        </w:rPr>
      </w:pPr>
    </w:p>
    <w:p>
      <w:pPr>
        <w:shd w:val="clear" w:color="auto" w:fill="FFFFFF"/>
        <w:overflowPunct/>
        <w:adjustRightInd/>
        <w:snapToGrid/>
        <w:spacing w:line="560" w:lineRule="exact"/>
        <w:ind w:firstLine="0" w:firstLineChars="0"/>
        <w:jc w:val="center"/>
        <w:rPr>
          <w:b/>
          <w:kern w:val="0"/>
          <w:sz w:val="30"/>
          <w:szCs w:val="30"/>
        </w:rPr>
      </w:pPr>
      <w:r>
        <w:rPr>
          <w:b/>
          <w:kern w:val="0"/>
          <w:sz w:val="30"/>
          <w:szCs w:val="30"/>
        </w:rPr>
        <w:t>法定代表人授权委托书</w:t>
      </w:r>
    </w:p>
    <w:p>
      <w:pPr>
        <w:shd w:val="clear" w:color="auto" w:fill="FFFFFF"/>
        <w:overflowPunct/>
        <w:adjustRightInd/>
        <w:snapToGrid/>
        <w:spacing w:line="560" w:lineRule="exact"/>
        <w:ind w:firstLine="0" w:firstLineChars="0"/>
        <w:jc w:val="left"/>
        <w:rPr>
          <w:kern w:val="0"/>
          <w:szCs w:val="32"/>
        </w:rPr>
      </w:pPr>
    </w:p>
    <w:p>
      <w:pPr>
        <w:shd w:val="clear" w:color="auto" w:fill="FFFFFF"/>
        <w:overflowPunct/>
        <w:adjustRightInd/>
        <w:snapToGrid/>
        <w:spacing w:line="500" w:lineRule="exact"/>
        <w:ind w:firstLine="560"/>
        <w:rPr>
          <w:kern w:val="0"/>
          <w:sz w:val="28"/>
          <w:szCs w:val="28"/>
        </w:rPr>
      </w:pPr>
      <w:r>
        <w:rPr>
          <w:kern w:val="0"/>
          <w:sz w:val="28"/>
          <w:szCs w:val="28"/>
        </w:rPr>
        <w:t>致✕✕县（市、区）</w:t>
      </w:r>
      <w:r>
        <w:rPr>
          <w:rFonts w:hint="eastAsia"/>
          <w:kern w:val="0"/>
          <w:sz w:val="28"/>
          <w:szCs w:val="28"/>
        </w:rPr>
        <w:t>学校</w:t>
      </w:r>
      <w:r>
        <w:rPr>
          <w:kern w:val="0"/>
          <w:sz w:val="28"/>
          <w:szCs w:val="28"/>
        </w:rPr>
        <w:t>成立食材采购联合体：</w:t>
      </w:r>
    </w:p>
    <w:p>
      <w:pPr>
        <w:shd w:val="clear" w:color="auto" w:fill="FFFFFF"/>
        <w:overflowPunct/>
        <w:adjustRightInd/>
        <w:snapToGrid/>
        <w:spacing w:line="500" w:lineRule="exact"/>
        <w:ind w:firstLine="560"/>
        <w:rPr>
          <w:kern w:val="0"/>
          <w:sz w:val="28"/>
          <w:szCs w:val="28"/>
        </w:rPr>
      </w:pPr>
      <w:r>
        <w:rPr>
          <w:kern w:val="0"/>
          <w:sz w:val="28"/>
          <w:szCs w:val="28"/>
        </w:rPr>
        <w:t>本授权书声明：注册于              （投标人住址）的      （投标人名称）法定代表人        （法定代表人姓名、职务）代表本公司授权在下面签字的        （投标人代表姓名、职务）为本公司的合法代理人，就贵方组织的          （项目名称），        （项目编号）投标，以本公司名义处理一切与之有关的事务。</w:t>
      </w:r>
    </w:p>
    <w:p>
      <w:pPr>
        <w:shd w:val="clear" w:color="auto" w:fill="FFFFFF"/>
        <w:overflowPunct/>
        <w:adjustRightInd/>
        <w:snapToGrid/>
        <w:spacing w:line="500" w:lineRule="exact"/>
        <w:ind w:firstLine="560"/>
        <w:rPr>
          <w:kern w:val="0"/>
          <w:sz w:val="28"/>
          <w:szCs w:val="28"/>
        </w:rPr>
      </w:pPr>
      <w:r>
        <w:rPr>
          <w:kern w:val="0"/>
          <w:sz w:val="28"/>
          <w:szCs w:val="28"/>
        </w:rPr>
        <w:t>本授权书于    年  月  日签字或签章生效，特此声明。</w:t>
      </w:r>
    </w:p>
    <w:p>
      <w:pPr>
        <w:shd w:val="clear" w:color="auto" w:fill="FFFFFF"/>
        <w:overflowPunct/>
        <w:adjustRightInd/>
        <w:snapToGrid/>
        <w:spacing w:line="500" w:lineRule="exact"/>
        <w:ind w:firstLine="560"/>
        <w:rPr>
          <w:kern w:val="0"/>
          <w:sz w:val="28"/>
          <w:szCs w:val="28"/>
        </w:rPr>
      </w:pPr>
      <w:r>
        <w:rPr>
          <w:kern w:val="0"/>
          <w:sz w:val="28"/>
          <w:szCs w:val="28"/>
        </w:rPr>
        <w:t>法定代表人签字或签章：</w:t>
      </w:r>
    </w:p>
    <w:p>
      <w:pPr>
        <w:shd w:val="clear" w:color="auto" w:fill="FFFFFF"/>
        <w:overflowPunct/>
        <w:adjustRightInd/>
        <w:snapToGrid/>
        <w:spacing w:line="500" w:lineRule="exact"/>
        <w:ind w:firstLine="560"/>
        <w:rPr>
          <w:kern w:val="0"/>
          <w:sz w:val="28"/>
          <w:szCs w:val="28"/>
        </w:rPr>
      </w:pPr>
      <w:r>
        <w:rPr>
          <w:kern w:val="0"/>
          <w:sz w:val="28"/>
          <w:szCs w:val="28"/>
        </w:rPr>
        <w:t>委托代理人签字或签章：                   </w:t>
      </w:r>
    </w:p>
    <w:p>
      <w:pPr>
        <w:shd w:val="clear" w:color="auto" w:fill="FFFFFF"/>
        <w:overflowPunct/>
        <w:adjustRightInd/>
        <w:snapToGrid/>
        <w:spacing w:line="500" w:lineRule="exact"/>
        <w:ind w:firstLine="560"/>
        <w:rPr>
          <w:kern w:val="0"/>
          <w:sz w:val="28"/>
          <w:szCs w:val="28"/>
        </w:rPr>
      </w:pPr>
      <w:r>
        <w:rPr>
          <w:kern w:val="0"/>
          <w:sz w:val="28"/>
          <w:szCs w:val="28"/>
        </w:rPr>
        <w:t>日     期：        年    月    日</w:t>
      </w: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bookmarkStart w:id="62" w:name="_Hlk45291991"/>
      <w:r>
        <w:rPr>
          <w:kern w:val="0"/>
          <w:sz w:val="28"/>
          <w:szCs w:val="28"/>
        </w:rPr>
        <w:t>法定代表人的身份证的复印件：</w:t>
      </w:r>
    </w:p>
    <w:bookmarkEnd w:id="62"/>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r>
        <w:rPr>
          <w:kern w:val="0"/>
          <w:sz w:val="28"/>
          <w:szCs w:val="28"/>
        </w:rPr>
        <w:t>委托代理人的身份证的复印件：</w:t>
      </w: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keepNext/>
        <w:keepLines/>
        <w:numPr>
          <w:ilvl w:val="255"/>
          <w:numId w:val="0"/>
        </w:numPr>
        <w:overflowPunct/>
        <w:snapToGrid/>
        <w:spacing w:before="260" w:after="260" w:line="560" w:lineRule="exact"/>
        <w:outlineLvl w:val="1"/>
        <w:rPr>
          <w:rFonts w:eastAsia="黑体"/>
          <w:szCs w:val="32"/>
        </w:rPr>
      </w:pPr>
      <w:bookmarkStart w:id="63" w:name="_Toc43917782"/>
      <w:bookmarkStart w:id="64" w:name="_Toc66375435"/>
      <w:r>
        <w:rPr>
          <w:rFonts w:eastAsia="黑体"/>
          <w:szCs w:val="32"/>
        </w:rPr>
        <w:t>附件三、资格证明文件</w:t>
      </w:r>
      <w:bookmarkEnd w:id="63"/>
      <w:bookmarkEnd w:id="64"/>
    </w:p>
    <w:p>
      <w:pPr>
        <w:shd w:val="clear" w:color="auto" w:fill="FFFFFF"/>
        <w:overflowPunct/>
        <w:adjustRightInd/>
        <w:snapToGrid/>
        <w:spacing w:line="500" w:lineRule="exact"/>
        <w:ind w:firstLine="560"/>
        <w:rPr>
          <w:kern w:val="0"/>
          <w:sz w:val="28"/>
          <w:szCs w:val="28"/>
        </w:rPr>
      </w:pPr>
      <w:r>
        <w:rPr>
          <w:kern w:val="0"/>
          <w:sz w:val="28"/>
          <w:szCs w:val="28"/>
        </w:rPr>
        <w:t xml:space="preserve">1.第一章 </w:t>
      </w:r>
      <w:r>
        <w:rPr>
          <w:rFonts w:hint="eastAsia"/>
          <w:kern w:val="0"/>
          <w:sz w:val="28"/>
          <w:szCs w:val="28"/>
        </w:rPr>
        <w:t>资格审查</w:t>
      </w:r>
      <w:r>
        <w:rPr>
          <w:kern w:val="0"/>
          <w:sz w:val="28"/>
          <w:szCs w:val="28"/>
        </w:rPr>
        <w:t>公告中二、投标人的资格要求2.1参照《中华人民共和国政府采购法》第二十二条规定证明文件；</w:t>
      </w:r>
    </w:p>
    <w:p>
      <w:pPr>
        <w:shd w:val="clear" w:color="auto" w:fill="FFFFFF"/>
        <w:overflowPunct/>
        <w:adjustRightInd/>
        <w:snapToGrid/>
        <w:spacing w:line="500" w:lineRule="exact"/>
        <w:ind w:firstLine="560"/>
        <w:rPr>
          <w:kern w:val="0"/>
          <w:sz w:val="28"/>
          <w:szCs w:val="28"/>
        </w:rPr>
      </w:pPr>
      <w:r>
        <w:rPr>
          <w:kern w:val="0"/>
          <w:sz w:val="28"/>
          <w:szCs w:val="28"/>
        </w:rPr>
        <w:t xml:space="preserve">2.第一章 </w:t>
      </w:r>
      <w:r>
        <w:rPr>
          <w:rFonts w:hint="eastAsia"/>
          <w:kern w:val="0"/>
          <w:sz w:val="28"/>
          <w:szCs w:val="28"/>
        </w:rPr>
        <w:t>资格审查</w:t>
      </w:r>
      <w:r>
        <w:rPr>
          <w:kern w:val="0"/>
          <w:sz w:val="28"/>
          <w:szCs w:val="28"/>
        </w:rPr>
        <w:t>公告中二、投标人的资格要求 2.2本项目特定资格要求证明文件；</w:t>
      </w:r>
    </w:p>
    <w:p>
      <w:pPr>
        <w:shd w:val="clear" w:color="auto" w:fill="FFFFFF"/>
        <w:overflowPunct/>
        <w:adjustRightInd/>
        <w:snapToGrid/>
        <w:spacing w:line="500" w:lineRule="exact"/>
        <w:ind w:firstLine="560"/>
        <w:rPr>
          <w:kern w:val="0"/>
          <w:sz w:val="28"/>
          <w:szCs w:val="28"/>
        </w:rPr>
      </w:pPr>
      <w:r>
        <w:rPr>
          <w:kern w:val="0"/>
          <w:sz w:val="28"/>
          <w:szCs w:val="28"/>
        </w:rPr>
        <w:t>3. 投标人未被“信用中国”网站（www.creditchina.gov.cn）、“中国政府采购网”(www.ccgp.gov.cn)列入失信被执行人、重大税收违法案件当事人名单、政府采购严重违法失信行为记录名单证明文件；</w:t>
      </w:r>
    </w:p>
    <w:p>
      <w:pPr>
        <w:shd w:val="clear" w:color="auto" w:fill="FFFFFF"/>
        <w:overflowPunct/>
        <w:adjustRightInd/>
        <w:snapToGrid/>
        <w:spacing w:line="500" w:lineRule="exact"/>
        <w:ind w:firstLine="560"/>
        <w:rPr>
          <w:kern w:val="0"/>
          <w:sz w:val="28"/>
          <w:szCs w:val="28"/>
        </w:rPr>
      </w:pPr>
      <w:r>
        <w:rPr>
          <w:kern w:val="0"/>
          <w:sz w:val="28"/>
          <w:szCs w:val="28"/>
        </w:rPr>
        <w:t>4.第三章 资格审查办法及确定</w:t>
      </w:r>
      <w:r>
        <w:rPr>
          <w:rFonts w:hint="eastAsia"/>
          <w:kern w:val="0"/>
          <w:sz w:val="28"/>
          <w:szCs w:val="28"/>
        </w:rPr>
        <w:t>资格审查</w:t>
      </w:r>
      <w:r>
        <w:rPr>
          <w:kern w:val="0"/>
          <w:sz w:val="28"/>
          <w:szCs w:val="28"/>
        </w:rPr>
        <w:t>通过的</w:t>
      </w:r>
      <w:r>
        <w:rPr>
          <w:rFonts w:hint="eastAsia"/>
          <w:kern w:val="0"/>
          <w:sz w:val="28"/>
          <w:szCs w:val="28"/>
        </w:rPr>
        <w:t>投标人</w:t>
      </w:r>
      <w:r>
        <w:rPr>
          <w:kern w:val="0"/>
          <w:sz w:val="28"/>
          <w:szCs w:val="28"/>
        </w:rPr>
        <w:t>所参与的对应</w:t>
      </w:r>
      <w:r>
        <w:rPr>
          <w:rFonts w:hint="eastAsia"/>
          <w:kern w:val="0"/>
          <w:sz w:val="28"/>
          <w:szCs w:val="28"/>
        </w:rPr>
        <w:t>食材分组</w:t>
      </w:r>
      <w:r>
        <w:rPr>
          <w:kern w:val="0"/>
          <w:sz w:val="28"/>
          <w:szCs w:val="28"/>
        </w:rPr>
        <w:t>的</w:t>
      </w:r>
      <w:r>
        <w:rPr>
          <w:rFonts w:hint="eastAsia"/>
          <w:kern w:val="0"/>
          <w:sz w:val="28"/>
          <w:szCs w:val="28"/>
        </w:rPr>
        <w:t>资格审查现场考察表</w:t>
      </w:r>
      <w:r>
        <w:rPr>
          <w:kern w:val="0"/>
          <w:sz w:val="28"/>
          <w:szCs w:val="28"/>
        </w:rPr>
        <w:t>中要求的所有投标人资格条件的各项材料。</w:t>
      </w:r>
    </w:p>
    <w:p>
      <w:pPr>
        <w:shd w:val="clear" w:color="auto" w:fill="FFFFFF"/>
        <w:overflowPunct/>
        <w:adjustRightInd/>
        <w:snapToGrid/>
        <w:spacing w:line="500" w:lineRule="exact"/>
        <w:ind w:firstLine="0" w:firstLineChars="0"/>
        <w:rPr>
          <w:kern w:val="0"/>
          <w:sz w:val="28"/>
          <w:szCs w:val="28"/>
        </w:rPr>
      </w:pPr>
      <w:r>
        <w:rPr>
          <w:kern w:val="0"/>
          <w:sz w:val="28"/>
          <w:szCs w:val="28"/>
        </w:rPr>
        <w:t> </w:t>
      </w:r>
    </w:p>
    <w:p>
      <w:pPr>
        <w:shd w:val="clear" w:color="auto" w:fill="FFFFFF"/>
        <w:overflowPunct/>
        <w:adjustRightInd/>
        <w:snapToGrid/>
        <w:spacing w:line="560" w:lineRule="exact"/>
        <w:ind w:firstLine="0" w:firstLineChars="0"/>
        <w:jc w:val="left"/>
        <w:rPr>
          <w:kern w:val="0"/>
          <w:szCs w:val="32"/>
        </w:rPr>
      </w:pPr>
      <w:r>
        <w:rPr>
          <w:kern w:val="0"/>
          <w:szCs w:val="32"/>
        </w:rPr>
        <w:br w:type="page"/>
      </w:r>
    </w:p>
    <w:p>
      <w:pPr>
        <w:keepNext/>
        <w:keepLines/>
        <w:numPr>
          <w:ilvl w:val="1"/>
          <w:numId w:val="4"/>
        </w:numPr>
        <w:overflowPunct/>
        <w:snapToGrid/>
        <w:spacing w:before="260" w:after="260" w:line="560" w:lineRule="exact"/>
        <w:ind w:firstLine="643"/>
        <w:outlineLvl w:val="1"/>
        <w:rPr>
          <w:b/>
          <w:bCs/>
          <w:szCs w:val="32"/>
        </w:rPr>
      </w:pPr>
      <w:bookmarkStart w:id="65" w:name="_Toc43917777"/>
      <w:bookmarkStart w:id="66" w:name="_Toc66375430"/>
      <w:r>
        <w:rPr>
          <w:b/>
          <w:bCs/>
          <w:szCs w:val="32"/>
        </w:rPr>
        <w:t>附件四、</w:t>
      </w:r>
      <w:bookmarkEnd w:id="65"/>
      <w:bookmarkEnd w:id="66"/>
      <w:r>
        <w:rPr>
          <w:b/>
          <w:bCs/>
          <w:szCs w:val="32"/>
        </w:rPr>
        <w:t>无重大违法记录声明格式</w:t>
      </w:r>
    </w:p>
    <w:p>
      <w:pPr>
        <w:shd w:val="clear" w:color="auto" w:fill="FFFFFF"/>
        <w:overflowPunct/>
        <w:adjustRightInd/>
        <w:snapToGrid/>
        <w:spacing w:line="560" w:lineRule="exact"/>
        <w:ind w:firstLine="0" w:firstLineChars="0"/>
        <w:jc w:val="center"/>
        <w:rPr>
          <w:b/>
          <w:kern w:val="0"/>
          <w:sz w:val="30"/>
          <w:szCs w:val="30"/>
        </w:rPr>
      </w:pPr>
      <w:r>
        <w:rPr>
          <w:b/>
          <w:kern w:val="0"/>
          <w:sz w:val="30"/>
          <w:szCs w:val="30"/>
        </w:rPr>
        <w:t>无重大违法记录声明</w:t>
      </w:r>
    </w:p>
    <w:p>
      <w:pPr>
        <w:overflowPunct/>
        <w:adjustRightInd/>
        <w:snapToGrid/>
        <w:spacing w:line="560" w:lineRule="exact"/>
        <w:ind w:firstLine="0" w:firstLineChars="0"/>
        <w:rPr>
          <w:szCs w:val="32"/>
        </w:rPr>
      </w:pPr>
    </w:p>
    <w:p>
      <w:pPr>
        <w:shd w:val="clear" w:color="auto" w:fill="FFFFFF"/>
        <w:overflowPunct/>
        <w:adjustRightInd/>
        <w:snapToGrid/>
        <w:spacing w:line="500" w:lineRule="exact"/>
        <w:ind w:firstLine="0" w:firstLineChars="0"/>
        <w:rPr>
          <w:kern w:val="0"/>
          <w:sz w:val="28"/>
          <w:szCs w:val="28"/>
        </w:rPr>
      </w:pPr>
      <w:r>
        <w:rPr>
          <w:kern w:val="0"/>
          <w:sz w:val="28"/>
          <w:szCs w:val="28"/>
        </w:rPr>
        <w:t>致✕✕县（市、区）</w:t>
      </w:r>
      <w:r>
        <w:rPr>
          <w:rFonts w:hint="eastAsia"/>
          <w:kern w:val="0"/>
          <w:sz w:val="28"/>
          <w:szCs w:val="28"/>
        </w:rPr>
        <w:t>学校</w:t>
      </w:r>
      <w:r>
        <w:rPr>
          <w:kern w:val="0"/>
          <w:sz w:val="28"/>
          <w:szCs w:val="28"/>
        </w:rPr>
        <w:t>成立食材采购联合体：</w:t>
      </w:r>
    </w:p>
    <w:p>
      <w:pPr>
        <w:shd w:val="clear" w:color="auto" w:fill="FFFFFF"/>
        <w:overflowPunct/>
        <w:adjustRightInd/>
        <w:snapToGrid/>
        <w:spacing w:line="500" w:lineRule="exact"/>
        <w:ind w:firstLine="560"/>
        <w:rPr>
          <w:kern w:val="0"/>
          <w:sz w:val="28"/>
          <w:szCs w:val="28"/>
        </w:rPr>
      </w:pPr>
      <w:r>
        <w:rPr>
          <w:kern w:val="0"/>
          <w:sz w:val="28"/>
          <w:szCs w:val="28"/>
        </w:rPr>
        <w:t>我单位    （投标人名称）郑重声明：</w:t>
      </w:r>
    </w:p>
    <w:p>
      <w:pPr>
        <w:shd w:val="clear" w:color="auto" w:fill="FFFFFF"/>
        <w:overflowPunct/>
        <w:adjustRightInd/>
        <w:snapToGrid/>
        <w:spacing w:line="500" w:lineRule="exact"/>
        <w:ind w:firstLine="560"/>
        <w:rPr>
          <w:kern w:val="0"/>
          <w:sz w:val="28"/>
          <w:szCs w:val="28"/>
        </w:rPr>
      </w:pPr>
      <w:r>
        <w:rPr>
          <w:kern w:val="0"/>
          <w:sz w:val="28"/>
          <w:szCs w:val="28"/>
        </w:rPr>
        <w:t>参加本次采购活动前3年内在经营活动中</w:t>
      </w:r>
      <w:r>
        <w:rPr>
          <w:kern w:val="0"/>
          <w:sz w:val="28"/>
          <w:szCs w:val="28"/>
          <w:u w:val="single"/>
        </w:rPr>
        <w:t xml:space="preserve">    </w:t>
      </w:r>
      <w:r>
        <w:rPr>
          <w:kern w:val="0"/>
          <w:sz w:val="28"/>
          <w:szCs w:val="28"/>
        </w:rPr>
        <w:t>（在下划线上如实填写：有或没有）重大违法记录。</w:t>
      </w: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0" w:firstLineChars="0"/>
        <w:rPr>
          <w:kern w:val="0"/>
          <w:sz w:val="28"/>
          <w:szCs w:val="28"/>
        </w:rPr>
      </w:pPr>
    </w:p>
    <w:p>
      <w:pPr>
        <w:shd w:val="clear" w:color="auto" w:fill="FFFFFF"/>
        <w:overflowPunct/>
        <w:adjustRightInd/>
        <w:snapToGrid/>
        <w:spacing w:line="500" w:lineRule="exact"/>
        <w:ind w:firstLine="5040" w:firstLineChars="1800"/>
        <w:rPr>
          <w:kern w:val="0"/>
          <w:sz w:val="28"/>
          <w:szCs w:val="28"/>
        </w:rPr>
      </w:pPr>
      <w:r>
        <w:rPr>
          <w:kern w:val="0"/>
          <w:sz w:val="28"/>
          <w:szCs w:val="28"/>
        </w:rPr>
        <w:t>声明人： （公章）</w:t>
      </w:r>
    </w:p>
    <w:p>
      <w:pPr>
        <w:shd w:val="clear" w:color="auto" w:fill="FFFFFF"/>
        <w:overflowPunct/>
        <w:adjustRightInd/>
        <w:snapToGrid/>
        <w:spacing w:line="500" w:lineRule="exact"/>
        <w:ind w:firstLine="5040" w:firstLineChars="1800"/>
        <w:rPr>
          <w:kern w:val="0"/>
          <w:sz w:val="28"/>
          <w:szCs w:val="28"/>
          <w:lang w:val="zh-CN"/>
        </w:rPr>
      </w:pPr>
      <w:r>
        <w:rPr>
          <w:kern w:val="0"/>
          <w:sz w:val="28"/>
          <w:szCs w:val="28"/>
          <w:lang w:val="zh-CN"/>
        </w:rPr>
        <w:t>日   期：    年   月  日</w:t>
      </w:r>
    </w:p>
    <w:p>
      <w:pPr>
        <w:shd w:val="clear" w:color="auto" w:fill="FFFFFF"/>
        <w:overflowPunct/>
        <w:adjustRightInd/>
        <w:snapToGrid/>
        <w:spacing w:line="500" w:lineRule="exact"/>
        <w:ind w:firstLine="0" w:firstLineChars="0"/>
        <w:rPr>
          <w:kern w:val="0"/>
          <w:sz w:val="28"/>
          <w:szCs w:val="28"/>
          <w:lang w:val="zh-CN"/>
        </w:rPr>
      </w:pPr>
    </w:p>
    <w:p>
      <w:pPr>
        <w:overflowPunct/>
        <w:autoSpaceDE w:val="0"/>
        <w:autoSpaceDN w:val="0"/>
        <w:snapToGrid/>
        <w:spacing w:line="560" w:lineRule="exact"/>
        <w:ind w:firstLine="0" w:firstLineChars="0"/>
        <w:rPr>
          <w:szCs w:val="32"/>
          <w:lang w:val="zh-CN"/>
        </w:rPr>
      </w:pPr>
    </w:p>
    <w:p>
      <w:pPr>
        <w:overflowPunct/>
        <w:autoSpaceDE w:val="0"/>
        <w:autoSpaceDN w:val="0"/>
        <w:snapToGrid/>
        <w:spacing w:line="560" w:lineRule="exact"/>
        <w:ind w:firstLine="0" w:firstLineChars="0"/>
        <w:rPr>
          <w:szCs w:val="32"/>
          <w:lang w:val="zh-CN"/>
        </w:rPr>
      </w:pPr>
    </w:p>
    <w:p>
      <w:pPr>
        <w:overflowPunct/>
        <w:autoSpaceDE w:val="0"/>
        <w:autoSpaceDN w:val="0"/>
        <w:snapToGrid/>
        <w:spacing w:line="560" w:lineRule="exact"/>
        <w:ind w:firstLine="0" w:firstLineChars="0"/>
        <w:rPr>
          <w:szCs w:val="32"/>
          <w:lang w:val="zh-CN"/>
        </w:rPr>
      </w:pPr>
    </w:p>
    <w:p>
      <w:pPr>
        <w:overflowPunct/>
        <w:autoSpaceDE w:val="0"/>
        <w:autoSpaceDN w:val="0"/>
        <w:snapToGrid/>
        <w:spacing w:line="560" w:lineRule="exact"/>
        <w:ind w:firstLine="0" w:firstLineChars="0"/>
        <w:rPr>
          <w:szCs w:val="32"/>
          <w:lang w:val="zh-CN"/>
        </w:rPr>
      </w:pPr>
    </w:p>
    <w:p>
      <w:pPr>
        <w:overflowPunct/>
        <w:autoSpaceDE w:val="0"/>
        <w:autoSpaceDN w:val="0"/>
        <w:snapToGrid/>
        <w:spacing w:line="560" w:lineRule="exact"/>
        <w:ind w:firstLine="0" w:firstLineChars="0"/>
        <w:rPr>
          <w:szCs w:val="32"/>
          <w:lang w:val="zh-CN"/>
        </w:rPr>
      </w:pPr>
    </w:p>
    <w:p>
      <w:pPr>
        <w:overflowPunct/>
        <w:adjustRightInd/>
        <w:snapToGrid/>
        <w:spacing w:line="560" w:lineRule="exact"/>
        <w:ind w:firstLine="0" w:firstLineChars="0"/>
        <w:rPr>
          <w:szCs w:val="32"/>
        </w:rPr>
      </w:pPr>
      <w:r>
        <w:rPr>
          <w:szCs w:val="32"/>
        </w:rPr>
        <w:br w:type="page"/>
      </w:r>
    </w:p>
    <w:p>
      <w:pPr>
        <w:keepNext/>
        <w:keepLines/>
        <w:overflowPunct/>
        <w:adjustRightInd/>
        <w:snapToGrid/>
        <w:spacing w:before="260" w:after="260" w:line="560" w:lineRule="exact"/>
        <w:ind w:firstLine="0" w:firstLineChars="0"/>
        <w:outlineLvl w:val="1"/>
        <w:rPr>
          <w:rFonts w:eastAsia="黑体"/>
          <w:szCs w:val="32"/>
        </w:rPr>
      </w:pPr>
      <w:bookmarkStart w:id="67" w:name="_Hlk164774608"/>
      <w:bookmarkStart w:id="68" w:name="_Toc1487"/>
      <w:bookmarkStart w:id="69" w:name="_Hlk163404435"/>
      <w:r>
        <w:rPr>
          <w:rFonts w:eastAsia="黑体"/>
          <w:szCs w:val="32"/>
        </w:rPr>
        <w:t>附件五、具有履行合同所必需的设备和专业技术能力的声明格式</w:t>
      </w:r>
    </w:p>
    <w:p>
      <w:pPr>
        <w:overflowPunct/>
        <w:adjustRightInd/>
        <w:snapToGrid/>
        <w:spacing w:line="560" w:lineRule="exact"/>
        <w:ind w:firstLine="0" w:firstLineChars="0"/>
        <w:jc w:val="center"/>
        <w:rPr>
          <w:b/>
          <w:bCs/>
          <w:sz w:val="30"/>
          <w:szCs w:val="30"/>
        </w:rPr>
      </w:pPr>
      <w:r>
        <w:rPr>
          <w:b/>
          <w:bCs/>
          <w:sz w:val="30"/>
          <w:szCs w:val="30"/>
        </w:rPr>
        <w:t>具有履行合同所必需的设备和专业技术能力的声明</w:t>
      </w:r>
    </w:p>
    <w:p>
      <w:pPr>
        <w:overflowPunct/>
        <w:adjustRightInd/>
        <w:snapToGrid/>
        <w:spacing w:line="560" w:lineRule="exact"/>
        <w:ind w:firstLine="0" w:firstLineChars="0"/>
        <w:rPr>
          <w:szCs w:val="32"/>
        </w:rPr>
      </w:pPr>
      <w:bookmarkStart w:id="70" w:name="_Hlk164774601"/>
    </w:p>
    <w:p>
      <w:pPr>
        <w:shd w:val="clear" w:color="auto" w:fill="FFFFFF"/>
        <w:overflowPunct/>
        <w:adjustRightInd/>
        <w:snapToGrid/>
        <w:spacing w:line="500" w:lineRule="exact"/>
        <w:ind w:firstLine="0" w:firstLineChars="0"/>
        <w:rPr>
          <w:kern w:val="0"/>
          <w:sz w:val="28"/>
          <w:szCs w:val="28"/>
        </w:rPr>
      </w:pPr>
      <w:r>
        <w:rPr>
          <w:kern w:val="0"/>
          <w:sz w:val="28"/>
          <w:szCs w:val="28"/>
        </w:rPr>
        <w:t>致✕✕县（市、区）</w:t>
      </w:r>
      <w:r>
        <w:rPr>
          <w:rFonts w:hint="eastAsia"/>
          <w:kern w:val="0"/>
          <w:sz w:val="28"/>
          <w:szCs w:val="28"/>
        </w:rPr>
        <w:t>学校</w:t>
      </w:r>
      <w:r>
        <w:rPr>
          <w:kern w:val="0"/>
          <w:sz w:val="28"/>
          <w:szCs w:val="28"/>
        </w:rPr>
        <w:t>成立食材采购联合体</w:t>
      </w:r>
    </w:p>
    <w:p>
      <w:pPr>
        <w:shd w:val="clear" w:color="auto" w:fill="FFFFFF"/>
        <w:overflowPunct/>
        <w:adjustRightInd/>
        <w:snapToGrid/>
        <w:spacing w:line="500" w:lineRule="exact"/>
        <w:ind w:firstLine="0" w:firstLineChars="0"/>
        <w:rPr>
          <w:kern w:val="0"/>
          <w:sz w:val="28"/>
          <w:szCs w:val="28"/>
        </w:rPr>
      </w:pPr>
      <w:r>
        <w:rPr>
          <w:kern w:val="0"/>
          <w:sz w:val="28"/>
          <w:szCs w:val="28"/>
          <w:lang w:val="zh-CN"/>
        </w:rPr>
        <w:t xml:space="preserve">    </w:t>
      </w:r>
      <w:r>
        <w:rPr>
          <w:kern w:val="0"/>
          <w:sz w:val="28"/>
          <w:szCs w:val="28"/>
        </w:rPr>
        <w:t>我单位（投标人名称）郑重声明：</w:t>
      </w:r>
    </w:p>
    <w:p>
      <w:pPr>
        <w:shd w:val="clear" w:color="auto" w:fill="FFFFFF"/>
        <w:overflowPunct/>
        <w:adjustRightInd/>
        <w:snapToGrid/>
        <w:spacing w:line="500" w:lineRule="exact"/>
        <w:ind w:firstLine="560"/>
        <w:rPr>
          <w:kern w:val="0"/>
          <w:sz w:val="28"/>
          <w:szCs w:val="28"/>
        </w:rPr>
      </w:pPr>
      <w:r>
        <w:rPr>
          <w:kern w:val="0"/>
          <w:sz w:val="28"/>
          <w:szCs w:val="28"/>
        </w:rPr>
        <w:t>我单位具备履行本项采购合同所必需的设备和专业技术能力，为履行本项采购合同我单位具备如下主要设备和主要专业技术能力：</w:t>
      </w:r>
    </w:p>
    <w:p>
      <w:pPr>
        <w:shd w:val="clear" w:color="auto" w:fill="FFFFFF"/>
        <w:overflowPunct/>
        <w:adjustRightInd/>
        <w:snapToGrid/>
        <w:spacing w:line="500" w:lineRule="exact"/>
        <w:ind w:firstLine="560"/>
        <w:rPr>
          <w:kern w:val="0"/>
          <w:sz w:val="28"/>
          <w:szCs w:val="28"/>
        </w:rPr>
      </w:pPr>
      <w:r>
        <w:rPr>
          <w:kern w:val="0"/>
          <w:sz w:val="28"/>
          <w:szCs w:val="28"/>
        </w:rPr>
        <w:t>主要设备有：     。</w:t>
      </w:r>
    </w:p>
    <w:p>
      <w:pPr>
        <w:shd w:val="clear" w:color="auto" w:fill="FFFFFF"/>
        <w:overflowPunct/>
        <w:adjustRightInd/>
        <w:snapToGrid/>
        <w:spacing w:line="500" w:lineRule="exact"/>
        <w:ind w:firstLine="560"/>
        <w:rPr>
          <w:kern w:val="0"/>
          <w:sz w:val="28"/>
          <w:szCs w:val="28"/>
        </w:rPr>
      </w:pPr>
      <w:r>
        <w:rPr>
          <w:kern w:val="0"/>
          <w:sz w:val="28"/>
          <w:szCs w:val="28"/>
        </w:rPr>
        <w:t>主要专业技术能力有：     。</w:t>
      </w:r>
    </w:p>
    <w:bookmarkEnd w:id="67"/>
    <w:bookmarkEnd w:id="68"/>
    <w:p>
      <w:pPr>
        <w:shd w:val="clear" w:color="auto" w:fill="FFFFFF"/>
        <w:overflowPunct/>
        <w:adjustRightInd/>
        <w:snapToGrid/>
        <w:spacing w:line="500" w:lineRule="exact"/>
        <w:ind w:firstLine="0" w:firstLineChars="0"/>
        <w:rPr>
          <w:kern w:val="0"/>
          <w:sz w:val="28"/>
          <w:szCs w:val="28"/>
        </w:rPr>
      </w:pPr>
    </w:p>
    <w:bookmarkEnd w:id="70"/>
    <w:p>
      <w:pPr>
        <w:shd w:val="clear" w:color="auto" w:fill="FFFFFF"/>
        <w:overflowPunct/>
        <w:adjustRightInd/>
        <w:snapToGrid/>
        <w:spacing w:line="500" w:lineRule="exact"/>
        <w:ind w:firstLine="5040" w:firstLineChars="1800"/>
        <w:rPr>
          <w:kern w:val="0"/>
          <w:sz w:val="28"/>
          <w:szCs w:val="28"/>
        </w:rPr>
      </w:pPr>
      <w:r>
        <w:rPr>
          <w:kern w:val="0"/>
          <w:sz w:val="28"/>
          <w:szCs w:val="28"/>
        </w:rPr>
        <w:t>声明人（加盖公章）：</w:t>
      </w:r>
    </w:p>
    <w:p>
      <w:pPr>
        <w:shd w:val="clear" w:color="auto" w:fill="FFFFFF"/>
        <w:overflowPunct/>
        <w:adjustRightInd/>
        <w:snapToGrid/>
        <w:spacing w:line="500" w:lineRule="exact"/>
        <w:ind w:firstLine="5040" w:firstLineChars="1800"/>
        <w:rPr>
          <w:szCs w:val="32"/>
        </w:rPr>
      </w:pPr>
      <w:r>
        <w:rPr>
          <w:kern w:val="0"/>
          <w:sz w:val="28"/>
          <w:szCs w:val="28"/>
        </w:rPr>
        <w:t>日  期：  年  月  日</w:t>
      </w:r>
    </w:p>
    <w:bookmarkEnd w:id="69"/>
    <w:p>
      <w:pPr>
        <w:overflowPunct/>
        <w:snapToGrid/>
        <w:spacing w:line="560" w:lineRule="exact"/>
        <w:ind w:firstLine="643"/>
        <w:jc w:val="center"/>
        <w:rPr>
          <w:b/>
          <w:bCs/>
          <w:szCs w:val="32"/>
        </w:rPr>
      </w:pPr>
    </w:p>
    <w:p>
      <w:pPr>
        <w:spacing w:line="240" w:lineRule="auto"/>
        <w:ind w:firstLine="0" w:firstLineChars="0"/>
        <w:jc w:val="left"/>
        <w:rPr>
          <w:rFonts w:eastAsia="黑体"/>
          <w:szCs w:val="28"/>
        </w:rPr>
      </w:pPr>
      <w:r>
        <w:rPr>
          <w:rFonts w:eastAsia="黑体"/>
          <w:szCs w:val="28"/>
        </w:rPr>
        <w:br w:type="page"/>
      </w:r>
    </w:p>
    <w:p>
      <w:pPr>
        <w:pStyle w:val="36"/>
        <w:spacing w:after="439"/>
        <w:rPr>
          <w:rFonts w:cs="Times New Roman"/>
        </w:rPr>
      </w:pPr>
      <w:r>
        <w:rPr>
          <w:rFonts w:hint="eastAsia" w:cs="Times New Roman"/>
        </w:rPr>
        <w:t>附件2</w:t>
      </w:r>
    </w:p>
    <w:p>
      <w:pPr>
        <w:ind w:firstLine="640"/>
      </w:pPr>
    </w:p>
    <w:p>
      <w:pPr>
        <w:ind w:firstLine="640"/>
      </w:pPr>
    </w:p>
    <w:p>
      <w:pPr>
        <w:pStyle w:val="48"/>
        <w:widowControl w:val="0"/>
        <w:rPr>
          <w:rFonts w:cs="Times New Roman"/>
        </w:rPr>
      </w:pPr>
      <w:r>
        <w:rPr>
          <w:rFonts w:hint="eastAsia" w:cs="Times New Roman"/>
        </w:rPr>
        <w:t>中小学食材采购项目公开招标文件</w:t>
      </w:r>
    </w:p>
    <w:p>
      <w:pPr>
        <w:pStyle w:val="48"/>
        <w:widowControl w:val="0"/>
        <w:spacing w:before="219" w:beforeLines="50"/>
        <w:rPr>
          <w:rFonts w:cs="Times New Roman"/>
        </w:rPr>
      </w:pPr>
      <w:r>
        <w:rPr>
          <w:rFonts w:hint="eastAsia" w:cs="Times New Roman"/>
        </w:rPr>
        <w:t>参</w:t>
      </w:r>
      <w:r>
        <w:rPr>
          <w:rFonts w:cs="Times New Roman"/>
        </w:rPr>
        <w:t xml:space="preserve"> </w:t>
      </w:r>
      <w:r>
        <w:rPr>
          <w:rFonts w:hint="eastAsia" w:cs="Times New Roman"/>
        </w:rPr>
        <w:t>考</w:t>
      </w:r>
      <w:r>
        <w:rPr>
          <w:rFonts w:cs="Times New Roman"/>
        </w:rPr>
        <w:t xml:space="preserve"> </w:t>
      </w:r>
      <w:r>
        <w:rPr>
          <w:rFonts w:hint="eastAsia" w:cs="Times New Roman"/>
        </w:rPr>
        <w:t>模</w:t>
      </w:r>
      <w:r>
        <w:rPr>
          <w:rFonts w:cs="Times New Roman"/>
        </w:rPr>
        <w:t xml:space="preserve"> </w:t>
      </w:r>
      <w:r>
        <w:rPr>
          <w:rFonts w:hint="eastAsia" w:cs="Times New Roman"/>
        </w:rPr>
        <w:t>板</w:t>
      </w:r>
    </w:p>
    <w:p>
      <w:pPr>
        <w:ind w:firstLine="640"/>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ind w:firstLine="640"/>
        <w:rPr>
          <w:szCs w:val="32"/>
        </w:rPr>
      </w:pPr>
    </w:p>
    <w:p>
      <w:pPr>
        <w:pStyle w:val="10"/>
        <w:ind w:firstLine="640"/>
        <w:rPr>
          <w:rFonts w:ascii="Times New Roman" w:hAnsi="Times New Roman" w:cs="Times New Roman"/>
          <w:sz w:val="32"/>
          <w:szCs w:val="32"/>
          <w:lang w:eastAsia="zh-CN"/>
        </w:rPr>
      </w:pPr>
    </w:p>
    <w:p>
      <w:pPr>
        <w:ind w:firstLine="640"/>
        <w:rPr>
          <w:szCs w:val="32"/>
        </w:rPr>
      </w:pPr>
    </w:p>
    <w:p>
      <w:pPr>
        <w:pStyle w:val="29"/>
        <w:spacing w:before="219" w:after="219" w:afterLines="50"/>
        <w:rPr>
          <w:rFonts w:hint="eastAsia" w:eastAsia="楷体_GB2312" w:cs="Times New Roman"/>
          <w:b/>
          <w:bCs/>
          <w:szCs w:val="32"/>
          <w:highlight w:val="none"/>
          <w:lang w:eastAsia="zh-CN"/>
        </w:rPr>
      </w:pPr>
      <w:r>
        <w:rPr>
          <w:rFonts w:hint="eastAsia" w:eastAsia="楷体_GB2312" w:cs="Times New Roman"/>
          <w:b/>
          <w:bCs/>
          <w:szCs w:val="32"/>
          <w:highlight w:val="none"/>
        </w:rPr>
        <w:t>巩固校园餐整治成果工作</w:t>
      </w:r>
      <w:r>
        <w:rPr>
          <w:rFonts w:hint="eastAsia" w:eastAsia="楷体_GB2312" w:cs="Times New Roman"/>
          <w:b/>
          <w:bCs/>
          <w:szCs w:val="32"/>
          <w:highlight w:val="none"/>
          <w:lang w:val="en-US" w:eastAsia="zh-CN"/>
        </w:rPr>
        <w:t>组</w:t>
      </w:r>
    </w:p>
    <w:p>
      <w:pPr>
        <w:pStyle w:val="29"/>
        <w:spacing w:before="219" w:after="439"/>
        <w:rPr>
          <w:rFonts w:eastAsia="楷体_GB2312" w:cs="Times New Roman"/>
          <w:b/>
          <w:bCs/>
          <w:szCs w:val="36"/>
        </w:rPr>
      </w:pPr>
      <w:r>
        <w:rPr>
          <w:rFonts w:hint="eastAsia" w:eastAsia="楷体_GB2312" w:cs="Times New Roman"/>
          <w:b/>
          <w:bCs/>
          <w:szCs w:val="32"/>
        </w:rPr>
        <w:t>2026年</w:t>
      </w:r>
      <w:r>
        <w:rPr>
          <w:rFonts w:hint="eastAsia" w:eastAsia="楷体_GB2312" w:cs="Times New Roman"/>
          <w:b/>
          <w:bCs/>
          <w:szCs w:val="32"/>
          <w:lang w:val="en-US" w:eastAsia="zh-CN"/>
        </w:rPr>
        <w:t>5</w:t>
      </w:r>
      <w:r>
        <w:rPr>
          <w:rFonts w:hint="eastAsia" w:eastAsia="楷体_GB2312" w:cs="Times New Roman"/>
          <w:b/>
          <w:bCs/>
          <w:szCs w:val="32"/>
        </w:rPr>
        <w:t>月</w:t>
      </w:r>
    </w:p>
    <w:p>
      <w:pPr>
        <w:pStyle w:val="2"/>
        <w:sectPr>
          <w:footerReference r:id="rId19" w:type="default"/>
          <w:pgSz w:w="11906" w:h="16838"/>
          <w:pgMar w:top="2098" w:right="1587" w:bottom="1984" w:left="1587" w:header="851" w:footer="1417" w:gutter="0"/>
          <w:cols w:space="0" w:num="1"/>
          <w:docGrid w:type="lines" w:linePitch="439" w:charSpace="0"/>
        </w:sectPr>
      </w:pPr>
    </w:p>
    <w:p>
      <w:pPr>
        <w:ind w:firstLine="640"/>
        <w:rPr>
          <w:rFonts w:eastAsia="黑体"/>
        </w:rPr>
        <w:sectPr>
          <w:headerReference r:id="rId20" w:type="default"/>
          <w:footerReference r:id="rId21" w:type="default"/>
          <w:type w:val="continuous"/>
          <w:pgSz w:w="11906" w:h="16838"/>
          <w:pgMar w:top="2154" w:right="1531" w:bottom="1984" w:left="1531" w:header="851" w:footer="992" w:gutter="0"/>
          <w:cols w:space="0" w:num="1"/>
          <w:docGrid w:type="lines" w:linePitch="437" w:charSpace="0"/>
        </w:sectPr>
      </w:pPr>
    </w:p>
    <w:p>
      <w:pPr>
        <w:overflowPunct/>
        <w:spacing w:line="580" w:lineRule="atLeast"/>
        <w:ind w:firstLine="0" w:firstLineChars="0"/>
        <w:rPr>
          <w:rFonts w:eastAsia="黑体"/>
          <w:szCs w:val="28"/>
        </w:rPr>
      </w:pPr>
      <w:r>
        <w:rPr>
          <w:rFonts w:hint="eastAsia" w:eastAsia="黑体"/>
          <w:szCs w:val="28"/>
        </w:rPr>
        <w:t>关于本模板的使用说明：</w:t>
      </w:r>
    </w:p>
    <w:p>
      <w:pPr>
        <w:overflowPunct/>
        <w:spacing w:line="580" w:lineRule="atLeast"/>
        <w:ind w:firstLine="640"/>
        <w:rPr>
          <w:rFonts w:eastAsia="黑体"/>
          <w:szCs w:val="28"/>
        </w:rPr>
      </w:pPr>
      <w:r>
        <w:rPr>
          <w:rFonts w:hint="eastAsia" w:eastAsia="黑体"/>
          <w:szCs w:val="28"/>
        </w:rPr>
        <w:t>一、本模板由各地制定中小学食材采购公开招标时参考，如国家和省有关政策调整的，各地应相应及时予以调整；</w:t>
      </w:r>
    </w:p>
    <w:p>
      <w:pPr>
        <w:overflowPunct/>
        <w:spacing w:line="580" w:lineRule="atLeast"/>
        <w:ind w:firstLine="640"/>
        <w:rPr>
          <w:rFonts w:eastAsia="黑体"/>
          <w:szCs w:val="28"/>
        </w:rPr>
      </w:pPr>
      <w:r>
        <w:rPr>
          <w:rFonts w:hint="eastAsia" w:eastAsia="黑体"/>
          <w:szCs w:val="28"/>
        </w:rPr>
        <w:t>二、本模板中带下划波浪线的文字，为政策核心内容，在正式招标文件中不得修改。</w:t>
      </w:r>
    </w:p>
    <w:p>
      <w:pPr>
        <w:ind w:firstLine="640"/>
        <w:rPr>
          <w:rFonts w:eastAsia="楷体_GB2312"/>
          <w:szCs w:val="28"/>
        </w:rPr>
      </w:pPr>
      <w:r>
        <w:rPr>
          <w:rFonts w:hint="eastAsia" w:eastAsia="楷体_GB2312"/>
          <w:szCs w:val="28"/>
        </w:rPr>
        <w:t>（本页内容不属资格审查文件内容，正式使用时应删除）</w:t>
      </w:r>
    </w:p>
    <w:p>
      <w:pPr>
        <w:overflowPunct/>
        <w:adjustRightInd/>
        <w:snapToGrid/>
        <w:spacing w:line="360" w:lineRule="auto"/>
        <w:ind w:firstLine="0" w:firstLineChars="0"/>
        <w:jc w:val="center"/>
        <w:rPr>
          <w:rFonts w:eastAsia="宋体"/>
          <w:b/>
          <w:bCs/>
          <w:sz w:val="48"/>
          <w:szCs w:val="48"/>
        </w:rPr>
      </w:pPr>
      <w:r>
        <w:rPr>
          <w:rFonts w:eastAsia="黑体"/>
          <w:szCs w:val="28"/>
        </w:rPr>
        <w:br w:type="page"/>
      </w:r>
    </w:p>
    <w:p>
      <w:pPr>
        <w:overflowPunct/>
        <w:adjustRightInd/>
        <w:snapToGrid/>
        <w:spacing w:line="560" w:lineRule="exact"/>
        <w:ind w:firstLine="0" w:firstLineChars="0"/>
        <w:jc w:val="center"/>
        <w:rPr>
          <w:b/>
          <w:bCs/>
          <w:szCs w:val="32"/>
        </w:rPr>
      </w:pPr>
    </w:p>
    <w:p>
      <w:pPr>
        <w:overflowPunct/>
        <w:adjustRightInd/>
        <w:snapToGrid/>
        <w:spacing w:line="560" w:lineRule="exact"/>
        <w:ind w:firstLine="0" w:firstLineChars="0"/>
        <w:jc w:val="center"/>
        <w:rPr>
          <w:b/>
          <w:bCs/>
          <w:szCs w:val="32"/>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XX地区</w:t>
      </w:r>
      <w:r>
        <w:rPr>
          <w:rFonts w:hint="eastAsia" w:eastAsia="方正小标宋简体"/>
          <w:bCs/>
          <w:sz w:val="44"/>
          <w:szCs w:val="44"/>
          <w:lang w:val="zh-CN"/>
        </w:rPr>
        <w:t>中小学食材采购项目</w:t>
      </w:r>
      <w:r>
        <w:rPr>
          <w:rFonts w:eastAsia="方正小标宋简体"/>
          <w:bCs/>
          <w:sz w:val="44"/>
          <w:szCs w:val="44"/>
          <w:lang w:val="zh-CN"/>
        </w:rPr>
        <w:t> </w:t>
      </w: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公开招标文件</w:t>
      </w: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项目编号：</w:t>
      </w: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采购人：XXXX</w:t>
      </w:r>
    </w:p>
    <w:p>
      <w:pPr>
        <w:shd w:val="clear" w:color="auto" w:fill="FFFFFF"/>
        <w:overflowPunct/>
        <w:adjustRightInd/>
        <w:snapToGrid/>
        <w:spacing w:line="360" w:lineRule="auto"/>
        <w:ind w:firstLine="0" w:firstLineChars="0"/>
        <w:jc w:val="center"/>
        <w:rPr>
          <w:rFonts w:eastAsia="方正小标宋简体"/>
          <w:bCs/>
          <w:sz w:val="44"/>
          <w:szCs w:val="44"/>
          <w:lang w:val="zh-CN"/>
        </w:rPr>
      </w:pPr>
      <w:r>
        <w:rPr>
          <w:rFonts w:eastAsia="方正小标宋简体"/>
          <w:bCs/>
          <w:sz w:val="44"/>
          <w:szCs w:val="44"/>
          <w:lang w:val="zh-CN"/>
        </w:rPr>
        <w:t>采购代理机构：XXXX</w:t>
      </w:r>
    </w:p>
    <w:p>
      <w:pPr>
        <w:widowControl/>
        <w:shd w:val="clear" w:color="auto" w:fill="FFFFFF"/>
        <w:spacing w:line="360" w:lineRule="auto"/>
        <w:ind w:firstLine="3080" w:firstLineChars="700"/>
        <w:rPr>
          <w:rFonts w:eastAsia="方正小标宋简体"/>
          <w:bCs/>
          <w:sz w:val="44"/>
          <w:szCs w:val="44"/>
          <w:lang w:val="zh-CN"/>
        </w:rPr>
        <w:sectPr>
          <w:headerReference r:id="rId23" w:type="first"/>
          <w:headerReference r:id="rId22" w:type="default"/>
          <w:footerReference r:id="rId24" w:type="default"/>
          <w:pgSz w:w="11906" w:h="16838"/>
          <w:pgMar w:top="2098" w:right="1587" w:bottom="1984" w:left="1587" w:header="1191" w:footer="720" w:gutter="0"/>
          <w:cols w:space="720" w:num="1"/>
          <w:docGrid w:type="lines" w:linePitch="290" w:charSpace="0"/>
        </w:sectPr>
      </w:pPr>
      <w:r>
        <w:rPr>
          <w:rFonts w:eastAsia="方正小标宋简体"/>
          <w:bCs/>
          <w:sz w:val="44"/>
          <w:szCs w:val="44"/>
          <w:lang w:val="zh-CN"/>
        </w:rPr>
        <w:t>202</w:t>
      </w:r>
      <w:r>
        <w:rPr>
          <w:rFonts w:eastAsia="方正小标宋简体"/>
          <w:bCs/>
          <w:sz w:val="44"/>
          <w:szCs w:val="44"/>
        </w:rPr>
        <w:t>X</w:t>
      </w:r>
      <w:r>
        <w:rPr>
          <w:rFonts w:eastAsia="方正小标宋简体"/>
          <w:bCs/>
          <w:sz w:val="44"/>
          <w:szCs w:val="44"/>
          <w:lang w:val="zh-CN"/>
        </w:rPr>
        <w:t>年XX月</w:t>
      </w:r>
    </w:p>
    <w:sdt>
      <w:sdtPr>
        <w:rPr>
          <w:szCs w:val="32"/>
          <w:lang w:val="zh-CN"/>
        </w:rPr>
        <w:id w:val="147479441"/>
        <w:docPartObj>
          <w:docPartGallery w:val="Table of Contents"/>
          <w:docPartUnique/>
        </w:docPartObj>
      </w:sdtPr>
      <w:sdtEndPr>
        <w:rPr>
          <w:b/>
          <w:bCs/>
          <w:szCs w:val="32"/>
          <w:lang w:val="zh-CN"/>
        </w:rPr>
      </w:sdtEndPr>
      <w:sdtContent>
        <w:p>
          <w:pPr>
            <w:keepNext/>
            <w:keepLines/>
            <w:spacing w:before="240" w:line="560" w:lineRule="exact"/>
            <w:ind w:firstLine="0" w:firstLineChars="0"/>
            <w:jc w:val="center"/>
            <w:rPr>
              <w:rFonts w:eastAsia="宋体"/>
              <w:b/>
              <w:bCs/>
              <w:kern w:val="0"/>
              <w:szCs w:val="32"/>
            </w:rPr>
          </w:pPr>
          <w:r>
            <w:rPr>
              <w:rFonts w:eastAsia="宋体"/>
              <w:b/>
              <w:bCs/>
              <w:kern w:val="0"/>
              <w:szCs w:val="32"/>
              <w:lang w:val="zh-CN"/>
            </w:rPr>
            <w:t>目 录</w:t>
          </w:r>
        </w:p>
        <w:p>
          <w:pPr>
            <w:tabs>
              <w:tab w:val="right" w:leader="dot" w:pos="9026"/>
            </w:tabs>
            <w:spacing w:line="560" w:lineRule="exact"/>
            <w:ind w:firstLine="640"/>
            <w:rPr>
              <w:rFonts w:eastAsia="宋体"/>
              <w:b/>
              <w:bCs/>
              <w:szCs w:val="32"/>
            </w:rPr>
          </w:pPr>
          <w:r>
            <w:rPr>
              <w:rFonts w:eastAsia="宋体"/>
              <w:szCs w:val="32"/>
            </w:rPr>
            <w:fldChar w:fldCharType="begin"/>
          </w:r>
          <w:r>
            <w:rPr>
              <w:rFonts w:eastAsia="宋体"/>
              <w:szCs w:val="32"/>
            </w:rPr>
            <w:instrText xml:space="preserve"> TOC \o "1-1" \h \z \u </w:instrText>
          </w:r>
          <w:r>
            <w:rPr>
              <w:rFonts w:eastAsia="宋体"/>
              <w:szCs w:val="32"/>
            </w:rPr>
            <w:fldChar w:fldCharType="separate"/>
          </w:r>
          <w:r>
            <w:fldChar w:fldCharType="begin"/>
          </w:r>
          <w:r>
            <w:instrText xml:space="preserve"> HYPERLINK \l "_Toc16091" </w:instrText>
          </w:r>
          <w:r>
            <w:fldChar w:fldCharType="separate"/>
          </w:r>
          <w:r>
            <w:rPr>
              <w:rFonts w:eastAsia="宋体"/>
              <w:b/>
              <w:bCs/>
              <w:szCs w:val="32"/>
            </w:rPr>
            <w:t>第一章 招标公告</w:t>
          </w:r>
          <w:r>
            <w:rPr>
              <w:rFonts w:eastAsia="宋体"/>
              <w:b/>
              <w:bCs/>
              <w:szCs w:val="32"/>
            </w:rPr>
            <w:tab/>
          </w:r>
          <w:r>
            <w:rPr>
              <w:rFonts w:eastAsia="宋体"/>
              <w:b/>
              <w:bCs/>
              <w:szCs w:val="32"/>
            </w:rPr>
            <w:fldChar w:fldCharType="begin"/>
          </w:r>
          <w:r>
            <w:rPr>
              <w:rFonts w:eastAsia="宋体"/>
              <w:b/>
              <w:bCs/>
              <w:szCs w:val="32"/>
            </w:rPr>
            <w:instrText xml:space="preserve"> PAGEREF _Toc16091 \h </w:instrText>
          </w:r>
          <w:r>
            <w:rPr>
              <w:rFonts w:eastAsia="宋体"/>
              <w:b/>
              <w:bCs/>
              <w:szCs w:val="32"/>
            </w:rPr>
            <w:fldChar w:fldCharType="separate"/>
          </w:r>
          <w:r>
            <w:rPr>
              <w:rFonts w:eastAsia="宋体"/>
              <w:b/>
              <w:bCs/>
              <w:szCs w:val="32"/>
            </w:rPr>
            <w:t>89</w:t>
          </w:r>
          <w:r>
            <w:rPr>
              <w:rFonts w:eastAsia="宋体"/>
              <w:b/>
              <w:bCs/>
              <w:szCs w:val="32"/>
            </w:rPr>
            <w:fldChar w:fldCharType="end"/>
          </w:r>
          <w:r>
            <w:rPr>
              <w:rFonts w:eastAsia="宋体"/>
              <w:b/>
              <w:bCs/>
              <w:szCs w:val="32"/>
            </w:rPr>
            <w:fldChar w:fldCharType="end"/>
          </w:r>
        </w:p>
        <w:p>
          <w:pPr>
            <w:tabs>
              <w:tab w:val="right" w:leader="dot" w:pos="9026"/>
            </w:tabs>
            <w:spacing w:line="560" w:lineRule="exact"/>
            <w:ind w:firstLine="640"/>
            <w:rPr>
              <w:rFonts w:eastAsia="宋体"/>
              <w:b/>
              <w:bCs/>
              <w:szCs w:val="32"/>
            </w:rPr>
          </w:pPr>
          <w:r>
            <w:fldChar w:fldCharType="begin"/>
          </w:r>
          <w:r>
            <w:instrText xml:space="preserve"> HYPERLINK \l "_Toc8459" </w:instrText>
          </w:r>
          <w:r>
            <w:fldChar w:fldCharType="separate"/>
          </w:r>
          <w:r>
            <w:rPr>
              <w:rFonts w:eastAsia="宋体"/>
              <w:b/>
              <w:bCs/>
              <w:szCs w:val="32"/>
            </w:rPr>
            <w:t>第二章 投标人须知</w:t>
          </w:r>
          <w:r>
            <w:rPr>
              <w:rFonts w:eastAsia="宋体"/>
              <w:b/>
              <w:bCs/>
              <w:szCs w:val="32"/>
            </w:rPr>
            <w:tab/>
          </w:r>
          <w:r>
            <w:rPr>
              <w:rFonts w:eastAsia="宋体"/>
              <w:b/>
              <w:bCs/>
              <w:szCs w:val="32"/>
            </w:rPr>
            <w:fldChar w:fldCharType="begin"/>
          </w:r>
          <w:r>
            <w:rPr>
              <w:rFonts w:eastAsia="宋体"/>
              <w:b/>
              <w:bCs/>
              <w:szCs w:val="32"/>
            </w:rPr>
            <w:instrText xml:space="preserve"> PAGEREF _Toc8459 \h </w:instrText>
          </w:r>
          <w:r>
            <w:rPr>
              <w:rFonts w:eastAsia="宋体"/>
              <w:b/>
              <w:bCs/>
              <w:szCs w:val="32"/>
            </w:rPr>
            <w:fldChar w:fldCharType="separate"/>
          </w:r>
          <w:r>
            <w:rPr>
              <w:rFonts w:eastAsia="宋体"/>
              <w:b/>
              <w:bCs/>
              <w:szCs w:val="32"/>
            </w:rPr>
            <w:t>94</w:t>
          </w:r>
          <w:r>
            <w:rPr>
              <w:rFonts w:eastAsia="宋体"/>
              <w:b/>
              <w:bCs/>
              <w:szCs w:val="32"/>
            </w:rPr>
            <w:fldChar w:fldCharType="end"/>
          </w:r>
          <w:r>
            <w:rPr>
              <w:rFonts w:eastAsia="宋体"/>
              <w:b/>
              <w:bCs/>
              <w:szCs w:val="32"/>
            </w:rPr>
            <w:fldChar w:fldCharType="end"/>
          </w:r>
        </w:p>
        <w:p>
          <w:pPr>
            <w:tabs>
              <w:tab w:val="right" w:leader="dot" w:pos="9026"/>
            </w:tabs>
            <w:spacing w:line="560" w:lineRule="exact"/>
            <w:ind w:firstLine="640"/>
            <w:rPr>
              <w:rFonts w:eastAsia="宋体"/>
              <w:b/>
              <w:bCs/>
              <w:szCs w:val="32"/>
            </w:rPr>
          </w:pPr>
          <w:r>
            <w:fldChar w:fldCharType="begin"/>
          </w:r>
          <w:r>
            <w:instrText xml:space="preserve"> HYPERLINK \l "_Toc8117" </w:instrText>
          </w:r>
          <w:r>
            <w:fldChar w:fldCharType="separate"/>
          </w:r>
          <w:r>
            <w:rPr>
              <w:rFonts w:eastAsia="宋体"/>
              <w:b/>
              <w:bCs/>
              <w:szCs w:val="32"/>
            </w:rPr>
            <w:t>第三章 评标标准</w:t>
          </w:r>
          <w:r>
            <w:rPr>
              <w:rFonts w:eastAsia="宋体"/>
              <w:b/>
              <w:bCs/>
              <w:szCs w:val="32"/>
            </w:rPr>
            <w:tab/>
          </w:r>
          <w:r>
            <w:rPr>
              <w:rFonts w:eastAsia="宋体"/>
              <w:b/>
              <w:bCs/>
              <w:szCs w:val="32"/>
            </w:rPr>
            <w:fldChar w:fldCharType="begin"/>
          </w:r>
          <w:r>
            <w:rPr>
              <w:rFonts w:eastAsia="宋体"/>
              <w:b/>
              <w:bCs/>
              <w:szCs w:val="32"/>
            </w:rPr>
            <w:instrText xml:space="preserve"> PAGEREF _Toc8117 \h </w:instrText>
          </w:r>
          <w:r>
            <w:rPr>
              <w:rFonts w:eastAsia="宋体"/>
              <w:b/>
              <w:bCs/>
              <w:szCs w:val="32"/>
            </w:rPr>
            <w:fldChar w:fldCharType="separate"/>
          </w:r>
          <w:r>
            <w:rPr>
              <w:rFonts w:eastAsia="宋体"/>
              <w:b/>
              <w:bCs/>
              <w:szCs w:val="32"/>
            </w:rPr>
            <w:t>113</w:t>
          </w:r>
          <w:r>
            <w:rPr>
              <w:rFonts w:eastAsia="宋体"/>
              <w:b/>
              <w:bCs/>
              <w:szCs w:val="32"/>
            </w:rPr>
            <w:fldChar w:fldCharType="end"/>
          </w:r>
          <w:r>
            <w:rPr>
              <w:rFonts w:eastAsia="宋体"/>
              <w:b/>
              <w:bCs/>
              <w:szCs w:val="32"/>
            </w:rPr>
            <w:fldChar w:fldCharType="end"/>
          </w:r>
        </w:p>
        <w:p>
          <w:pPr>
            <w:tabs>
              <w:tab w:val="right" w:leader="dot" w:pos="9026"/>
            </w:tabs>
            <w:spacing w:line="560" w:lineRule="exact"/>
            <w:ind w:firstLine="640"/>
            <w:rPr>
              <w:rFonts w:eastAsia="宋体"/>
              <w:b/>
              <w:bCs/>
              <w:szCs w:val="32"/>
            </w:rPr>
          </w:pPr>
          <w:r>
            <w:fldChar w:fldCharType="begin"/>
          </w:r>
          <w:r>
            <w:instrText xml:space="preserve"> HYPERLINK \l "_Toc11191" </w:instrText>
          </w:r>
          <w:r>
            <w:fldChar w:fldCharType="separate"/>
          </w:r>
          <w:r>
            <w:rPr>
              <w:rFonts w:eastAsia="宋体"/>
              <w:b/>
              <w:bCs/>
              <w:szCs w:val="32"/>
            </w:rPr>
            <w:t>第四章 采购项目的内容和相关技术要求等</w:t>
          </w:r>
          <w:r>
            <w:rPr>
              <w:rFonts w:eastAsia="宋体"/>
              <w:b/>
              <w:bCs/>
              <w:szCs w:val="32"/>
            </w:rPr>
            <w:tab/>
          </w:r>
          <w:r>
            <w:rPr>
              <w:rFonts w:eastAsia="宋体"/>
              <w:b/>
              <w:bCs/>
              <w:szCs w:val="32"/>
            </w:rPr>
            <w:fldChar w:fldCharType="begin"/>
          </w:r>
          <w:r>
            <w:rPr>
              <w:rFonts w:eastAsia="宋体"/>
              <w:b/>
              <w:bCs/>
              <w:szCs w:val="32"/>
            </w:rPr>
            <w:instrText xml:space="preserve"> PAGEREF _Toc11191 \h </w:instrText>
          </w:r>
          <w:r>
            <w:rPr>
              <w:rFonts w:eastAsia="宋体"/>
              <w:b/>
              <w:bCs/>
              <w:szCs w:val="32"/>
            </w:rPr>
            <w:fldChar w:fldCharType="separate"/>
          </w:r>
          <w:r>
            <w:rPr>
              <w:rFonts w:eastAsia="宋体"/>
              <w:b/>
              <w:bCs/>
              <w:szCs w:val="32"/>
            </w:rPr>
            <w:t>118</w:t>
          </w:r>
          <w:r>
            <w:rPr>
              <w:rFonts w:eastAsia="宋体"/>
              <w:b/>
              <w:bCs/>
              <w:szCs w:val="32"/>
            </w:rPr>
            <w:fldChar w:fldCharType="end"/>
          </w:r>
          <w:r>
            <w:rPr>
              <w:rFonts w:eastAsia="宋体"/>
              <w:b/>
              <w:bCs/>
              <w:szCs w:val="32"/>
            </w:rPr>
            <w:fldChar w:fldCharType="end"/>
          </w:r>
        </w:p>
        <w:p>
          <w:pPr>
            <w:tabs>
              <w:tab w:val="right" w:leader="dot" w:pos="9026"/>
            </w:tabs>
            <w:spacing w:line="560" w:lineRule="exact"/>
            <w:ind w:firstLine="640"/>
            <w:rPr>
              <w:rFonts w:eastAsia="宋体"/>
              <w:b/>
              <w:bCs/>
              <w:szCs w:val="32"/>
            </w:rPr>
          </w:pPr>
          <w:r>
            <w:fldChar w:fldCharType="begin"/>
          </w:r>
          <w:r>
            <w:instrText xml:space="preserve"> HYPERLINK \l "_Toc18590" </w:instrText>
          </w:r>
          <w:r>
            <w:fldChar w:fldCharType="separate"/>
          </w:r>
          <w:r>
            <w:rPr>
              <w:rFonts w:eastAsia="宋体"/>
              <w:b/>
              <w:bCs/>
              <w:szCs w:val="32"/>
            </w:rPr>
            <w:t>第五章 合同主要条款及格式</w:t>
          </w:r>
          <w:r>
            <w:rPr>
              <w:rFonts w:eastAsia="宋体"/>
              <w:b/>
              <w:bCs/>
              <w:szCs w:val="32"/>
            </w:rPr>
            <w:tab/>
          </w:r>
          <w:r>
            <w:rPr>
              <w:rFonts w:eastAsia="宋体"/>
              <w:b/>
              <w:bCs/>
              <w:szCs w:val="32"/>
            </w:rPr>
            <w:fldChar w:fldCharType="begin"/>
          </w:r>
          <w:r>
            <w:rPr>
              <w:rFonts w:eastAsia="宋体"/>
              <w:b/>
              <w:bCs/>
              <w:szCs w:val="32"/>
            </w:rPr>
            <w:instrText xml:space="preserve"> PAGEREF _Toc18590 \h </w:instrText>
          </w:r>
          <w:r>
            <w:rPr>
              <w:rFonts w:eastAsia="宋体"/>
              <w:b/>
              <w:bCs/>
              <w:szCs w:val="32"/>
            </w:rPr>
            <w:fldChar w:fldCharType="separate"/>
          </w:r>
          <w:r>
            <w:rPr>
              <w:rFonts w:eastAsia="宋体"/>
              <w:b/>
              <w:bCs/>
              <w:szCs w:val="32"/>
            </w:rPr>
            <w:t>129</w:t>
          </w:r>
          <w:r>
            <w:rPr>
              <w:rFonts w:eastAsia="宋体"/>
              <w:b/>
              <w:bCs/>
              <w:szCs w:val="32"/>
            </w:rPr>
            <w:fldChar w:fldCharType="end"/>
          </w:r>
          <w:r>
            <w:rPr>
              <w:rFonts w:eastAsia="宋体"/>
              <w:b/>
              <w:bCs/>
              <w:szCs w:val="32"/>
            </w:rPr>
            <w:fldChar w:fldCharType="end"/>
          </w:r>
        </w:p>
        <w:p>
          <w:pPr>
            <w:tabs>
              <w:tab w:val="right" w:leader="dot" w:pos="9026"/>
            </w:tabs>
            <w:spacing w:line="560" w:lineRule="exact"/>
            <w:ind w:firstLine="640"/>
            <w:rPr>
              <w:rFonts w:eastAsia="宋体"/>
              <w:szCs w:val="32"/>
            </w:rPr>
          </w:pPr>
          <w:r>
            <w:fldChar w:fldCharType="begin"/>
          </w:r>
          <w:r>
            <w:instrText xml:space="preserve"> HYPERLINK \l "_Toc25685" </w:instrText>
          </w:r>
          <w:r>
            <w:fldChar w:fldCharType="separate"/>
          </w:r>
          <w:r>
            <w:rPr>
              <w:rFonts w:eastAsia="宋体"/>
              <w:b/>
              <w:bCs/>
              <w:szCs w:val="32"/>
            </w:rPr>
            <w:t>第六章 附件</w:t>
          </w:r>
          <w:r>
            <w:rPr>
              <w:rFonts w:eastAsia="宋体"/>
              <w:b/>
              <w:bCs/>
              <w:szCs w:val="32"/>
            </w:rPr>
            <w:tab/>
          </w:r>
          <w:r>
            <w:rPr>
              <w:rFonts w:eastAsia="宋体"/>
              <w:b/>
              <w:bCs/>
              <w:szCs w:val="32"/>
            </w:rPr>
            <w:fldChar w:fldCharType="begin"/>
          </w:r>
          <w:r>
            <w:rPr>
              <w:rFonts w:eastAsia="宋体"/>
              <w:b/>
              <w:bCs/>
              <w:szCs w:val="32"/>
            </w:rPr>
            <w:instrText xml:space="preserve"> PAGEREF _Toc25685 \h </w:instrText>
          </w:r>
          <w:r>
            <w:rPr>
              <w:rFonts w:eastAsia="宋体"/>
              <w:b/>
              <w:bCs/>
              <w:szCs w:val="32"/>
            </w:rPr>
            <w:fldChar w:fldCharType="separate"/>
          </w:r>
          <w:r>
            <w:rPr>
              <w:rFonts w:eastAsia="宋体"/>
              <w:b/>
              <w:bCs/>
              <w:szCs w:val="32"/>
            </w:rPr>
            <w:t>130</w:t>
          </w:r>
          <w:r>
            <w:rPr>
              <w:rFonts w:eastAsia="宋体"/>
              <w:b/>
              <w:bCs/>
              <w:szCs w:val="32"/>
            </w:rPr>
            <w:fldChar w:fldCharType="end"/>
          </w:r>
          <w:r>
            <w:rPr>
              <w:rFonts w:eastAsia="宋体"/>
              <w:b/>
              <w:bCs/>
              <w:szCs w:val="32"/>
            </w:rPr>
            <w:fldChar w:fldCharType="end"/>
          </w:r>
        </w:p>
        <w:p>
          <w:pPr>
            <w:overflowPunct/>
            <w:adjustRightInd/>
            <w:snapToGrid/>
            <w:spacing w:line="560" w:lineRule="exact"/>
            <w:ind w:firstLine="0" w:firstLineChars="0"/>
            <w:rPr>
              <w:szCs w:val="32"/>
            </w:rPr>
          </w:pPr>
          <w:r>
            <w:rPr>
              <w:rFonts w:eastAsia="宋体"/>
              <w:szCs w:val="32"/>
            </w:rPr>
            <w:fldChar w:fldCharType="end"/>
          </w:r>
        </w:p>
      </w:sdtContent>
    </w:sdt>
    <w:p>
      <w:pPr>
        <w:tabs>
          <w:tab w:val="right" w:leader="dot" w:pos="8296"/>
        </w:tabs>
        <w:spacing w:line="560" w:lineRule="exact"/>
        <w:ind w:firstLine="643"/>
        <w:rPr>
          <w:b/>
          <w:bCs/>
          <w:szCs w:val="32"/>
        </w:rPr>
      </w:pPr>
    </w:p>
    <w:p>
      <w:pPr>
        <w:tabs>
          <w:tab w:val="right" w:leader="dot" w:pos="8306"/>
        </w:tabs>
        <w:spacing w:line="560" w:lineRule="exact"/>
        <w:ind w:firstLine="643"/>
        <w:rPr>
          <w:b/>
          <w:szCs w:val="32"/>
        </w:rPr>
      </w:pPr>
      <w:r>
        <w:rPr>
          <w:b/>
          <w:szCs w:val="32"/>
        </w:rPr>
        <w:fldChar w:fldCharType="begin"/>
      </w:r>
      <w:r>
        <w:rPr>
          <w:b/>
          <w:szCs w:val="32"/>
        </w:rPr>
        <w:instrText xml:space="preserve">TOC \o "1-1" \h \u </w:instrText>
      </w:r>
      <w:r>
        <w:rPr>
          <w:b/>
          <w:szCs w:val="32"/>
        </w:rPr>
        <w:fldChar w:fldCharType="separate"/>
      </w:r>
    </w:p>
    <w:p>
      <w:pPr>
        <w:overflowPunct/>
        <w:adjustRightInd/>
        <w:snapToGrid/>
        <w:spacing w:line="560" w:lineRule="exact"/>
        <w:ind w:firstLine="0" w:firstLineChars="0"/>
        <w:rPr>
          <w:szCs w:val="32"/>
        </w:rPr>
      </w:pPr>
      <w:r>
        <w:rPr>
          <w:b/>
          <w:szCs w:val="32"/>
        </w:rPr>
        <w:fldChar w:fldCharType="end"/>
      </w:r>
    </w:p>
    <w:p>
      <w:pPr>
        <w:shd w:val="clear" w:color="auto" w:fill="FFFFFF"/>
        <w:overflowPunct/>
        <w:adjustRightInd/>
        <w:snapToGrid/>
        <w:spacing w:line="560" w:lineRule="exact"/>
        <w:ind w:firstLine="0" w:firstLineChars="0"/>
        <w:jc w:val="left"/>
        <w:rPr>
          <w:b/>
          <w:kern w:val="0"/>
          <w:szCs w:val="32"/>
        </w:rPr>
      </w:pPr>
    </w:p>
    <w:p>
      <w:pPr>
        <w:spacing w:line="560" w:lineRule="exact"/>
        <w:ind w:left="987" w:firstLine="640"/>
        <w:rPr>
          <w:szCs w:val="32"/>
        </w:rPr>
        <w:sectPr>
          <w:footerReference r:id="rId25" w:type="default"/>
          <w:pgSz w:w="11906" w:h="16838"/>
          <w:pgMar w:top="2098" w:right="1587" w:bottom="1984" w:left="1587" w:header="851" w:footer="992" w:gutter="0"/>
          <w:cols w:space="425" w:num="1"/>
          <w:docGrid w:type="lines" w:linePitch="312" w:charSpace="0"/>
        </w:sectPr>
      </w:pPr>
    </w:p>
    <w:p>
      <w:pPr>
        <w:keepNext/>
        <w:keepLines/>
        <w:spacing w:before="340" w:after="330" w:line="560" w:lineRule="exact"/>
        <w:ind w:firstLine="0" w:firstLineChars="0"/>
        <w:jc w:val="center"/>
        <w:outlineLvl w:val="0"/>
        <w:rPr>
          <w:rFonts w:eastAsia="方正小标宋简体"/>
          <w:kern w:val="44"/>
          <w:sz w:val="44"/>
          <w:szCs w:val="44"/>
        </w:rPr>
      </w:pPr>
      <w:r>
        <w:rPr>
          <w:rFonts w:hint="eastAsia" w:eastAsia="方正小标宋简体"/>
          <w:kern w:val="44"/>
          <w:sz w:val="44"/>
          <w:szCs w:val="44"/>
        </w:rPr>
        <w:t>第一章</w:t>
      </w:r>
      <w:r>
        <w:rPr>
          <w:rFonts w:eastAsia="方正小标宋简体"/>
          <w:kern w:val="44"/>
          <w:sz w:val="44"/>
          <w:szCs w:val="44"/>
        </w:rPr>
        <w:t xml:space="preserve"> </w:t>
      </w:r>
      <w:bookmarkStart w:id="71" w:name="_Toc16091"/>
      <w:r>
        <w:rPr>
          <w:rFonts w:eastAsia="方正小标宋简体"/>
          <w:kern w:val="44"/>
          <w:sz w:val="44"/>
          <w:szCs w:val="44"/>
        </w:rPr>
        <w:t>招标公告</w:t>
      </w:r>
      <w:bookmarkEnd w:id="71"/>
    </w:p>
    <w:p>
      <w:pPr>
        <w:pBdr>
          <w:top w:val="single" w:color="auto" w:sz="4" w:space="1"/>
          <w:left w:val="single" w:color="auto" w:sz="4" w:space="4"/>
          <w:bottom w:val="single" w:color="auto" w:sz="4" w:space="1"/>
          <w:right w:val="single" w:color="auto" w:sz="4" w:space="4"/>
        </w:pBdr>
        <w:overflowPunct/>
        <w:adjustRightInd/>
        <w:snapToGrid/>
        <w:spacing w:line="560" w:lineRule="exact"/>
        <w:ind w:firstLine="674"/>
        <w:rPr>
          <w:b/>
          <w:bCs/>
          <w:spacing w:val="8"/>
          <w:kern w:val="0"/>
          <w:szCs w:val="32"/>
        </w:rPr>
      </w:pPr>
      <w:r>
        <w:rPr>
          <w:b/>
          <w:bCs/>
          <w:spacing w:val="8"/>
          <w:kern w:val="0"/>
          <w:szCs w:val="32"/>
        </w:rPr>
        <w:t>项目概况</w:t>
      </w:r>
    </w:p>
    <w:p>
      <w:pPr>
        <w:pBdr>
          <w:top w:val="single" w:color="auto" w:sz="4" w:space="1"/>
          <w:left w:val="single" w:color="auto" w:sz="4" w:space="4"/>
          <w:bottom w:val="single" w:color="auto" w:sz="4" w:space="1"/>
          <w:right w:val="single" w:color="auto" w:sz="4" w:space="4"/>
        </w:pBdr>
        <w:overflowPunct/>
        <w:adjustRightInd/>
        <w:snapToGrid/>
        <w:spacing w:line="560" w:lineRule="exact"/>
        <w:ind w:firstLine="640"/>
        <w:rPr>
          <w:spacing w:val="8"/>
          <w:kern w:val="0"/>
          <w:szCs w:val="32"/>
        </w:rPr>
      </w:pPr>
      <w:r>
        <w:rPr>
          <w:bCs/>
          <w:kern w:val="0"/>
          <w:szCs w:val="32"/>
        </w:rPr>
        <w:t>XX</w:t>
      </w:r>
      <w:r>
        <w:rPr>
          <w:bCs/>
          <w:kern w:val="0"/>
          <w:szCs w:val="32"/>
          <w:u w:val="wave"/>
        </w:rPr>
        <w:t>地区</w:t>
      </w:r>
      <w:r>
        <w:rPr>
          <w:rFonts w:hint="eastAsia"/>
          <w:bCs/>
          <w:kern w:val="0"/>
          <w:szCs w:val="32"/>
          <w:u w:val="wave"/>
        </w:rPr>
        <w:t>中小学食材采购项目</w:t>
      </w:r>
      <w:r>
        <w:rPr>
          <w:bCs/>
          <w:kern w:val="0"/>
          <w:szCs w:val="32"/>
        </w:rPr>
        <w:t>XXXX</w:t>
      </w:r>
      <w:r>
        <w:rPr>
          <w:spacing w:val="8"/>
          <w:kern w:val="0"/>
          <w:szCs w:val="32"/>
          <w:u w:val="wave"/>
        </w:rPr>
        <w:t>招标项目的潜在投标人应在“江苏省学校阳光食堂”网站（https://xxgs.jsed.edu.cn/）获取招标文件</w:t>
      </w:r>
      <w:r>
        <w:rPr>
          <w:spacing w:val="8"/>
          <w:kern w:val="0"/>
          <w:szCs w:val="32"/>
        </w:rPr>
        <w:t>，并于XXXX年XX月XX日XX:XX（北京时间）前递交投标文件。</w:t>
      </w:r>
    </w:p>
    <w:p>
      <w:pPr>
        <w:shd w:val="clear" w:color="auto" w:fill="FFFFFF"/>
        <w:overflowPunct/>
        <w:adjustRightInd/>
        <w:snapToGrid/>
        <w:spacing w:line="560" w:lineRule="exact"/>
        <w:ind w:firstLine="640"/>
        <w:jc w:val="left"/>
        <w:rPr>
          <w:rFonts w:eastAsia="黑体"/>
          <w:b/>
          <w:kern w:val="0"/>
          <w:szCs w:val="32"/>
        </w:rPr>
      </w:pPr>
      <w:r>
        <w:rPr>
          <w:rFonts w:eastAsia="黑体"/>
          <w:bCs/>
          <w:kern w:val="0"/>
          <w:szCs w:val="32"/>
        </w:rPr>
        <w:t xml:space="preserve">一、项目基本情况  </w:t>
      </w:r>
      <w:r>
        <w:rPr>
          <w:rFonts w:eastAsia="黑体"/>
          <w:b/>
          <w:kern w:val="0"/>
          <w:szCs w:val="32"/>
        </w:rPr>
        <w:t xml:space="preserve"> </w:t>
      </w:r>
    </w:p>
    <w:p>
      <w:pPr>
        <w:shd w:val="clear" w:color="auto" w:fill="FFFFFF"/>
        <w:overflowPunct/>
        <w:adjustRightInd/>
        <w:snapToGrid/>
        <w:spacing w:line="560" w:lineRule="exact"/>
        <w:ind w:firstLine="640"/>
        <w:jc w:val="left"/>
        <w:rPr>
          <w:bCs/>
          <w:kern w:val="0"/>
          <w:szCs w:val="32"/>
        </w:rPr>
      </w:pPr>
      <w:r>
        <w:rPr>
          <w:bCs/>
          <w:kern w:val="0"/>
          <w:szCs w:val="32"/>
        </w:rPr>
        <w:t xml:space="preserve">1.1项目编号：XX </w:t>
      </w:r>
      <w:r>
        <w:rPr>
          <w:bCs/>
          <w:kern w:val="0"/>
          <w:szCs w:val="32"/>
        </w:rPr>
        <w:tab/>
      </w:r>
    </w:p>
    <w:p>
      <w:pPr>
        <w:shd w:val="clear" w:color="auto" w:fill="FFFFFF"/>
        <w:overflowPunct/>
        <w:adjustRightInd/>
        <w:snapToGrid/>
        <w:spacing w:line="560" w:lineRule="exact"/>
        <w:ind w:firstLine="640"/>
        <w:jc w:val="left"/>
        <w:rPr>
          <w:bCs/>
          <w:kern w:val="0"/>
          <w:szCs w:val="32"/>
        </w:rPr>
      </w:pPr>
      <w:r>
        <w:rPr>
          <w:bCs/>
          <w:kern w:val="0"/>
          <w:szCs w:val="32"/>
        </w:rPr>
        <w:t>1.2项目名称：XX地区</w:t>
      </w:r>
      <w:r>
        <w:rPr>
          <w:rFonts w:hint="eastAsia"/>
          <w:bCs/>
          <w:kern w:val="0"/>
          <w:szCs w:val="32"/>
        </w:rPr>
        <w:t>中小学食材采购项目</w:t>
      </w:r>
      <w:r>
        <w:rPr>
          <w:bCs/>
          <w:kern w:val="0"/>
          <w:szCs w:val="32"/>
        </w:rPr>
        <w:t> </w:t>
      </w:r>
    </w:p>
    <w:p>
      <w:pPr>
        <w:shd w:val="clear" w:color="auto" w:fill="FFFFFF"/>
        <w:overflowPunct/>
        <w:adjustRightInd/>
        <w:snapToGrid/>
        <w:spacing w:line="560" w:lineRule="exact"/>
        <w:ind w:firstLine="640"/>
        <w:jc w:val="left"/>
        <w:rPr>
          <w:bCs/>
          <w:kern w:val="0"/>
          <w:szCs w:val="32"/>
        </w:rPr>
      </w:pPr>
      <w:r>
        <w:rPr>
          <w:bCs/>
          <w:kern w:val="0"/>
          <w:szCs w:val="32"/>
        </w:rPr>
        <w:t>1.3采购方式：公开招标</w:t>
      </w:r>
    </w:p>
    <w:p>
      <w:pPr>
        <w:shd w:val="clear" w:color="auto" w:fill="FFFFFF"/>
        <w:overflowPunct/>
        <w:adjustRightInd/>
        <w:snapToGrid/>
        <w:spacing w:line="560" w:lineRule="exact"/>
        <w:ind w:firstLine="640"/>
        <w:jc w:val="left"/>
        <w:rPr>
          <w:bCs/>
          <w:szCs w:val="32"/>
        </w:rPr>
      </w:pPr>
      <w:r>
        <w:rPr>
          <w:bCs/>
          <w:kern w:val="0"/>
          <w:szCs w:val="32"/>
        </w:rPr>
        <w:t>1.4预算总金额</w:t>
      </w:r>
      <w:r>
        <w:rPr>
          <w:bCs/>
          <w:szCs w:val="32"/>
        </w:rPr>
        <w:t>：XXX万元</w:t>
      </w:r>
    </w:p>
    <w:p>
      <w:pPr>
        <w:shd w:val="clear" w:color="auto" w:fill="FFFFFF"/>
        <w:overflowPunct/>
        <w:adjustRightInd/>
        <w:snapToGrid/>
        <w:spacing w:line="560" w:lineRule="exact"/>
        <w:ind w:firstLine="640"/>
        <w:jc w:val="left"/>
        <w:rPr>
          <w:bCs/>
          <w:kern w:val="0"/>
          <w:szCs w:val="32"/>
        </w:rPr>
      </w:pPr>
      <w:r>
        <w:rPr>
          <w:bCs/>
          <w:kern w:val="0"/>
          <w:szCs w:val="32"/>
        </w:rPr>
        <w:t>1.5</w:t>
      </w:r>
      <w:r>
        <w:rPr>
          <w:rFonts w:hint="eastAsia"/>
          <w:bCs/>
          <w:kern w:val="0"/>
          <w:szCs w:val="32"/>
        </w:rPr>
        <w:t>采购食材</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食材分组一</w:t>
      </w:r>
      <w:r>
        <w:rPr>
          <w:bCs/>
          <w:kern w:val="0"/>
          <w:szCs w:val="32"/>
        </w:rPr>
        <w:t xml:space="preserve">：XXXX/XXX/XXX预算金额：XXXX万元   </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 xml:space="preserve">二：XXXX/XXX/XXX预算金额：XXXX万元   </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三：XXXX/XXX/XXX预算金额：XXXX万元</w:t>
      </w:r>
    </w:p>
    <w:p>
      <w:pPr>
        <w:shd w:val="clear" w:color="auto" w:fill="FFFFFF"/>
        <w:overflowPunct/>
        <w:adjustRightInd/>
        <w:snapToGrid/>
        <w:spacing w:line="560" w:lineRule="exact"/>
        <w:ind w:firstLine="640"/>
        <w:jc w:val="left"/>
        <w:rPr>
          <w:bCs/>
          <w:kern w:val="0"/>
          <w:szCs w:val="32"/>
        </w:rPr>
      </w:pPr>
      <w:r>
        <w:rPr>
          <w:rFonts w:hint="eastAsia"/>
          <w:bCs/>
          <w:kern w:val="0"/>
          <w:szCs w:val="32"/>
        </w:rPr>
        <w:t>食材分组</w:t>
      </w:r>
      <w:r>
        <w:rPr>
          <w:bCs/>
          <w:kern w:val="0"/>
          <w:szCs w:val="32"/>
        </w:rPr>
        <w:t>四：XXXX/XXX/XXX预算金额：XXXX万元</w:t>
      </w:r>
    </w:p>
    <w:p>
      <w:pPr>
        <w:shd w:val="clear" w:color="auto" w:fill="FFFFFF"/>
        <w:overflowPunct/>
        <w:adjustRightInd/>
        <w:snapToGrid/>
        <w:spacing w:line="560" w:lineRule="exact"/>
        <w:ind w:firstLine="640"/>
        <w:jc w:val="left"/>
        <w:rPr>
          <w:bCs/>
          <w:kern w:val="0"/>
          <w:szCs w:val="32"/>
        </w:rPr>
      </w:pPr>
      <w:r>
        <w:rPr>
          <w:bCs/>
          <w:kern w:val="0"/>
          <w:szCs w:val="32"/>
        </w:rPr>
        <w:t>.......</w:t>
      </w:r>
    </w:p>
    <w:p>
      <w:pPr>
        <w:shd w:val="clear" w:color="auto" w:fill="FFFFFF"/>
        <w:overflowPunct/>
        <w:adjustRightInd/>
        <w:snapToGrid/>
        <w:spacing w:line="560" w:lineRule="exact"/>
        <w:ind w:firstLine="640"/>
        <w:jc w:val="left"/>
        <w:rPr>
          <w:bCs/>
          <w:kern w:val="0"/>
          <w:szCs w:val="32"/>
          <w:u w:val="wave"/>
        </w:rPr>
      </w:pPr>
      <w:r>
        <w:rPr>
          <w:bCs/>
          <w:kern w:val="0"/>
          <w:szCs w:val="32"/>
        </w:rPr>
        <w:t>1.6采购需求：为建立XXXX标准化、规范化的食材配送管理体系，加强成本核算，拟委托第三方社会机构提供食材物资供货、配送服务。学校范围包含XXX地区，预计食堂有XX人就餐，</w:t>
      </w:r>
      <w:r>
        <w:rPr>
          <w:bCs/>
          <w:kern w:val="0"/>
          <w:szCs w:val="32"/>
          <w:u w:val="wave"/>
        </w:rPr>
        <w:t>采购种类包含但不限于米面油、干货调味品、速冻食品、乳品、水饮品、烘焙零食、</w:t>
      </w:r>
      <w:r>
        <w:rPr>
          <w:rFonts w:hint="eastAsia"/>
          <w:bCs/>
          <w:kern w:val="0"/>
          <w:szCs w:val="32"/>
          <w:u w:val="wave"/>
        </w:rPr>
        <w:t>水果、蔬菜、豆/粮制品、</w:t>
      </w:r>
      <w:r>
        <w:rPr>
          <w:bCs/>
          <w:kern w:val="0"/>
          <w:szCs w:val="32"/>
          <w:u w:val="wave"/>
        </w:rPr>
        <w:t>禽肉蛋、猪肉、牛羊肉、水产等。</w:t>
      </w:r>
    </w:p>
    <w:p>
      <w:pPr>
        <w:shd w:val="clear" w:color="auto" w:fill="FFFFFF"/>
        <w:overflowPunct/>
        <w:adjustRightInd/>
        <w:snapToGrid/>
        <w:spacing w:line="560" w:lineRule="exact"/>
        <w:ind w:firstLine="640"/>
        <w:jc w:val="left"/>
        <w:rPr>
          <w:kern w:val="0"/>
          <w:szCs w:val="32"/>
          <w:u w:val="wave"/>
        </w:rPr>
      </w:pPr>
      <w:r>
        <w:rPr>
          <w:bCs/>
          <w:kern w:val="0"/>
          <w:szCs w:val="32"/>
          <w:u w:val="wave"/>
        </w:rPr>
        <w:t>1.7</w:t>
      </w:r>
      <w:r>
        <w:rPr>
          <w:rFonts w:hint="eastAsia"/>
          <w:kern w:val="0"/>
          <w:szCs w:val="32"/>
          <w:u w:val="wave"/>
        </w:rPr>
        <w:t>招标方式：</w:t>
      </w:r>
    </w:p>
    <w:p>
      <w:pPr>
        <w:numPr>
          <w:ilvl w:val="255"/>
          <w:numId w:val="0"/>
        </w:num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（1）采购人根据采购周期对入围投标人发出招标公告或竞价通知，入围投标人获取招标文件，根据可供应的食材大类参与相关食材分组的投标和竞价。</w:t>
      </w:r>
    </w:p>
    <w:p>
      <w:pPr>
        <w:numPr>
          <w:ilvl w:val="255"/>
          <w:numId w:val="0"/>
        </w:num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2）食材分组XXX至食材分组XXX为价格波动较小的食材，采用“评标竞价”方式招标。此环节各标段采用综合评分法，是指入围投标人通过“阳光食堂”平台对供应范围内所有单品食材进行报价，并根据招标文件进行投标，投标文件满足招标文件全部实质性要求且按照评审因素的量化指标评审得分最高的第一名投标人为中标候选人的评标方法。</w:t>
      </w:r>
    </w:p>
    <w:p>
      <w:pPr>
        <w:numPr>
          <w:ilvl w:val="255"/>
          <w:numId w:val="0"/>
        </w:num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3）食材分组XXX至食材分组XXX为价格波动较大的食材，采用“实际竞价”方式招标。此环节各标段采用系统自动评分法，是指入围投标人按照招标文件中明确的实际竞价招标周期，通过“阳光食堂”平台对供应范围内所有单品食材进行报价，“阳光食堂”平台根据技术指标自动评分，得分最高的第一名投标人为中标候选人的评分办法。</w:t>
      </w:r>
    </w:p>
    <w:p>
      <w:pPr>
        <w:numPr>
          <w:ilvl w:val="255"/>
          <w:numId w:val="0"/>
        </w:num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（4）采购人原则上不得从入围投标人以外采购服务。如入围投标人不能满足需求，可按照单位内部控制制度自行采购。</w:t>
      </w:r>
    </w:p>
    <w:p>
      <w:pPr>
        <w:shd w:val="clear" w:color="auto" w:fill="FFFFFF"/>
        <w:overflowPunct/>
        <w:adjustRightInd/>
        <w:snapToGrid/>
        <w:spacing w:line="560" w:lineRule="exact"/>
        <w:ind w:firstLine="640" w:firstLineChars="0"/>
        <w:jc w:val="left"/>
        <w:rPr>
          <w:bCs/>
          <w:kern w:val="0"/>
          <w:szCs w:val="32"/>
          <w:u w:val="wave"/>
        </w:rPr>
      </w:pPr>
      <w:r>
        <w:rPr>
          <w:rFonts w:hint="eastAsia"/>
          <w:bCs/>
          <w:kern w:val="0"/>
          <w:szCs w:val="32"/>
          <w:u w:val="wave"/>
        </w:rPr>
        <w:t>（5）</w:t>
      </w:r>
      <w:r>
        <w:rPr>
          <w:bCs/>
          <w:kern w:val="0"/>
          <w:szCs w:val="32"/>
          <w:u w:val="wave"/>
        </w:rPr>
        <w:t>本项目可以兼投兼中</w:t>
      </w:r>
      <w:r>
        <w:rPr>
          <w:rFonts w:hint="eastAsia"/>
          <w:bCs/>
          <w:kern w:val="0"/>
          <w:szCs w:val="32"/>
          <w:u w:val="wave"/>
        </w:rPr>
        <w:t>。</w:t>
      </w:r>
      <w:r>
        <w:rPr>
          <w:bCs/>
          <w:kern w:val="0"/>
          <w:szCs w:val="32"/>
          <w:u w:val="wave"/>
        </w:rPr>
        <w:t>“实际竞价”标段中，入围投标人根据资格审查后确认的运输能力值决定中标数量，每中一个标段，扣除该标段食材每日运送总量所需的运输能力值，当运输能力值不足时，无法继续中标。每个标段中标人仅为1家。</w:t>
      </w:r>
    </w:p>
    <w:p>
      <w:pPr>
        <w:shd w:val="clear" w:color="auto" w:fill="FFFFFF"/>
        <w:overflowPunct/>
        <w:adjustRightInd/>
        <w:snapToGrid/>
        <w:spacing w:line="560" w:lineRule="exact"/>
        <w:ind w:firstLine="640"/>
        <w:jc w:val="left"/>
        <w:rPr>
          <w:bCs/>
          <w:kern w:val="0"/>
          <w:szCs w:val="32"/>
          <w:u w:val="wave"/>
        </w:rPr>
      </w:pPr>
      <w:r>
        <w:rPr>
          <w:bCs/>
          <w:kern w:val="0"/>
          <w:szCs w:val="32"/>
          <w:u w:val="wave"/>
        </w:rPr>
        <w:t>1.8服务期限：采用“</w:t>
      </w:r>
      <w:r>
        <w:rPr>
          <w:rFonts w:hint="eastAsia"/>
          <w:bCs/>
          <w:kern w:val="0"/>
          <w:szCs w:val="32"/>
          <w:u w:val="wave"/>
        </w:rPr>
        <w:t>评标竞价</w:t>
      </w:r>
      <w:r>
        <w:rPr>
          <w:bCs/>
          <w:kern w:val="0"/>
          <w:szCs w:val="32"/>
          <w:u w:val="wave"/>
        </w:rPr>
        <w:t>”</w:t>
      </w:r>
      <w:r>
        <w:rPr>
          <w:rFonts w:hint="eastAsia"/>
          <w:bCs/>
          <w:kern w:val="0"/>
          <w:szCs w:val="32"/>
          <w:u w:val="wave"/>
        </w:rPr>
        <w:t>方式招标</w:t>
      </w:r>
      <w:r>
        <w:rPr>
          <w:bCs/>
          <w:kern w:val="0"/>
          <w:szCs w:val="32"/>
          <w:u w:val="wave"/>
        </w:rPr>
        <w:t>的</w:t>
      </w:r>
      <w:r>
        <w:rPr>
          <w:rFonts w:hint="eastAsia"/>
          <w:bCs/>
          <w:kern w:val="0"/>
          <w:szCs w:val="32"/>
          <w:u w:val="wave"/>
        </w:rPr>
        <w:t>食材</w:t>
      </w:r>
      <w:r>
        <w:rPr>
          <w:bCs/>
          <w:kern w:val="0"/>
          <w:szCs w:val="32"/>
          <w:u w:val="wave"/>
        </w:rPr>
        <w:t>标段，服务期限为XXX；采用“</w:t>
      </w:r>
      <w:r>
        <w:rPr>
          <w:rFonts w:hint="eastAsia"/>
          <w:bCs/>
          <w:kern w:val="0"/>
          <w:szCs w:val="32"/>
          <w:u w:val="wave"/>
        </w:rPr>
        <w:t>实际竞价</w:t>
      </w:r>
      <w:r>
        <w:rPr>
          <w:bCs/>
          <w:kern w:val="0"/>
          <w:szCs w:val="32"/>
          <w:u w:val="wave"/>
        </w:rPr>
        <w:t>”</w:t>
      </w:r>
      <w:r>
        <w:rPr>
          <w:rFonts w:hint="eastAsia"/>
          <w:bCs/>
          <w:kern w:val="0"/>
          <w:szCs w:val="32"/>
          <w:u w:val="wave"/>
        </w:rPr>
        <w:t>方式招标</w:t>
      </w:r>
      <w:r>
        <w:rPr>
          <w:bCs/>
          <w:kern w:val="0"/>
          <w:szCs w:val="32"/>
          <w:u w:val="wave"/>
        </w:rPr>
        <w:t>的</w:t>
      </w:r>
      <w:r>
        <w:rPr>
          <w:rFonts w:hint="eastAsia"/>
          <w:bCs/>
          <w:kern w:val="0"/>
          <w:szCs w:val="32"/>
          <w:u w:val="wave"/>
        </w:rPr>
        <w:t>食材</w:t>
      </w:r>
      <w:r>
        <w:rPr>
          <w:bCs/>
          <w:kern w:val="0"/>
          <w:szCs w:val="32"/>
          <w:u w:val="wave"/>
        </w:rPr>
        <w:t>标段，服务期限为XXX。</w:t>
      </w:r>
    </w:p>
    <w:p>
      <w:pPr>
        <w:shd w:val="clear" w:color="auto" w:fill="FFFFFF"/>
        <w:overflowPunct/>
        <w:adjustRightInd/>
        <w:snapToGrid/>
        <w:spacing w:line="560" w:lineRule="exact"/>
        <w:ind w:firstLine="640"/>
        <w:jc w:val="left"/>
        <w:rPr>
          <w:bCs/>
          <w:kern w:val="0"/>
          <w:szCs w:val="32"/>
          <w:u w:val="wave"/>
        </w:rPr>
      </w:pPr>
      <w:r>
        <w:rPr>
          <w:rFonts w:hint="eastAsia"/>
          <w:bCs/>
          <w:kern w:val="0"/>
          <w:szCs w:val="32"/>
          <w:u w:val="wave"/>
        </w:rPr>
        <w:t>1.9</w:t>
      </w:r>
      <w:r>
        <w:rPr>
          <w:bCs/>
          <w:kern w:val="0"/>
          <w:szCs w:val="32"/>
          <w:u w:val="wave"/>
        </w:rPr>
        <w:t>本项目（是/否）接受联合体投标：否。</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二、申请人的资格要求</w:t>
      </w:r>
    </w:p>
    <w:p>
      <w:pPr>
        <w:shd w:val="clear" w:color="auto" w:fill="FFFFFF"/>
        <w:overflowPunct/>
        <w:adjustRightInd/>
        <w:snapToGrid/>
        <w:spacing w:line="560" w:lineRule="exact"/>
        <w:ind w:firstLine="640"/>
        <w:jc w:val="left"/>
        <w:rPr>
          <w:kern w:val="0"/>
          <w:szCs w:val="32"/>
          <w:u w:val="wave"/>
        </w:rPr>
      </w:pPr>
      <w:bookmarkStart w:id="72" w:name="_Hlk77846375"/>
      <w:bookmarkStart w:id="73" w:name="_Hlk77845490"/>
      <w:r>
        <w:rPr>
          <w:kern w:val="0"/>
          <w:szCs w:val="32"/>
          <w:u w:val="wave"/>
        </w:rPr>
        <w:t>参加公开招标的申请人应为已通过相应</w:t>
      </w:r>
      <w:r>
        <w:rPr>
          <w:rFonts w:hint="eastAsia"/>
          <w:kern w:val="0"/>
          <w:szCs w:val="32"/>
          <w:u w:val="wave"/>
        </w:rPr>
        <w:t>食材分组资格</w:t>
      </w:r>
      <w:r>
        <w:rPr>
          <w:kern w:val="0"/>
          <w:szCs w:val="32"/>
          <w:u w:val="wave"/>
        </w:rPr>
        <w:t>审查的</w:t>
      </w:r>
      <w:r>
        <w:rPr>
          <w:rFonts w:hint="eastAsia"/>
          <w:kern w:val="0"/>
          <w:szCs w:val="32"/>
          <w:u w:val="wave"/>
        </w:rPr>
        <w:t>潜在</w:t>
      </w:r>
      <w:r>
        <w:rPr>
          <w:kern w:val="0"/>
          <w:szCs w:val="32"/>
          <w:u w:val="wave"/>
        </w:rPr>
        <w:t>投标人（提供对应</w:t>
      </w:r>
      <w:r>
        <w:rPr>
          <w:rFonts w:hint="eastAsia"/>
          <w:kern w:val="0"/>
          <w:szCs w:val="32"/>
          <w:u w:val="wave"/>
        </w:rPr>
        <w:t>食材分组</w:t>
      </w:r>
      <w:r>
        <w:rPr>
          <w:kern w:val="0"/>
          <w:szCs w:val="32"/>
          <w:u w:val="wave"/>
        </w:rPr>
        <w:t>入围通知书及签订的入围协议）。</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三、获取招标文件</w:t>
      </w:r>
    </w:p>
    <w:bookmarkEnd w:id="72"/>
    <w:bookmarkEnd w:id="73"/>
    <w:p>
      <w:pPr>
        <w:shd w:val="clear" w:color="auto" w:fill="FFFFFF"/>
        <w:overflowPunct/>
        <w:adjustRightInd/>
        <w:snapToGrid/>
        <w:spacing w:line="560" w:lineRule="exact"/>
        <w:ind w:firstLine="640"/>
        <w:jc w:val="left"/>
        <w:rPr>
          <w:kern w:val="0"/>
          <w:szCs w:val="32"/>
        </w:rPr>
      </w:pPr>
      <w:r>
        <w:rPr>
          <w:kern w:val="0"/>
          <w:szCs w:val="32"/>
        </w:rPr>
        <w:t>时间：XXXX年XX月XX日至XXXX年XX月XX日，每天上午XX时至XX时，下午XX时至XX时（北京时间，法定节假日除外）。</w:t>
      </w:r>
    </w:p>
    <w:p>
      <w:pPr>
        <w:shd w:val="clear" w:color="auto" w:fill="FFFFFF"/>
        <w:overflowPunct/>
        <w:adjustRightInd/>
        <w:snapToGrid/>
        <w:spacing w:line="560" w:lineRule="exact"/>
        <w:ind w:firstLine="640"/>
        <w:jc w:val="left"/>
        <w:rPr>
          <w:kern w:val="0"/>
          <w:szCs w:val="32"/>
          <w:u w:val="wave"/>
        </w:rPr>
      </w:pPr>
      <w:r>
        <w:rPr>
          <w:kern w:val="0"/>
          <w:szCs w:val="32"/>
          <w:u w:val="wave"/>
        </w:rPr>
        <w:t>获取方式：入围投标人自行携带营业执照复印件、授权代表授权书加盖公章和对应</w:t>
      </w:r>
      <w:r>
        <w:rPr>
          <w:rFonts w:hint="eastAsia"/>
          <w:kern w:val="0"/>
          <w:szCs w:val="32"/>
          <w:u w:val="wave"/>
        </w:rPr>
        <w:t>食材分组</w:t>
      </w:r>
      <w:r>
        <w:rPr>
          <w:kern w:val="0"/>
          <w:szCs w:val="32"/>
          <w:u w:val="wave"/>
        </w:rPr>
        <w:t>资格入围通知书和入围协议至XXX获取。</w:t>
      </w:r>
    </w:p>
    <w:p>
      <w:pPr>
        <w:shd w:val="clear" w:color="auto" w:fill="FFFFFF"/>
        <w:overflowPunct/>
        <w:adjustRightInd/>
        <w:snapToGrid/>
        <w:spacing w:line="560" w:lineRule="exact"/>
        <w:ind w:firstLine="640"/>
        <w:jc w:val="left"/>
        <w:rPr>
          <w:kern w:val="0"/>
          <w:szCs w:val="32"/>
        </w:rPr>
      </w:pPr>
      <w:r>
        <w:rPr>
          <w:kern w:val="0"/>
          <w:szCs w:val="32"/>
        </w:rPr>
        <w:t>联系人：XXXXX</w:t>
      </w:r>
    </w:p>
    <w:p>
      <w:pPr>
        <w:shd w:val="clear" w:color="auto" w:fill="FFFFFF"/>
        <w:overflowPunct/>
        <w:adjustRightInd/>
        <w:snapToGrid/>
        <w:spacing w:line="560" w:lineRule="exact"/>
        <w:ind w:firstLine="640"/>
        <w:jc w:val="left"/>
        <w:rPr>
          <w:rFonts w:eastAsia="黑体"/>
          <w:bCs/>
          <w:kern w:val="0"/>
          <w:szCs w:val="32"/>
        </w:rPr>
      </w:pPr>
      <w:r>
        <w:rPr>
          <w:kern w:val="0"/>
          <w:szCs w:val="32"/>
        </w:rPr>
        <w:t>联系电话：XXXXXX</w:t>
      </w:r>
    </w:p>
    <w:p>
      <w:pPr>
        <w:shd w:val="clear" w:color="auto" w:fill="FFFFFF"/>
        <w:overflowPunct/>
        <w:adjustRightInd/>
        <w:snapToGrid/>
        <w:spacing w:line="560" w:lineRule="exact"/>
        <w:ind w:firstLine="640"/>
        <w:jc w:val="left"/>
        <w:rPr>
          <w:rFonts w:eastAsia="黑体"/>
          <w:bCs/>
          <w:kern w:val="0"/>
          <w:szCs w:val="32"/>
        </w:rPr>
      </w:pPr>
      <w:r>
        <w:rPr>
          <w:rFonts w:eastAsia="黑体"/>
          <w:bCs/>
          <w:kern w:val="0"/>
          <w:szCs w:val="32"/>
        </w:rPr>
        <w:t>四、提交投标文件开始时间、截止时间和地点</w:t>
      </w:r>
    </w:p>
    <w:p>
      <w:pPr>
        <w:shd w:val="clear" w:color="auto" w:fill="FFFFFF"/>
        <w:overflowPunct/>
        <w:adjustRightInd/>
        <w:snapToGrid/>
        <w:spacing w:line="560" w:lineRule="exact"/>
        <w:ind w:firstLine="640"/>
        <w:jc w:val="left"/>
        <w:rPr>
          <w:kern w:val="0"/>
          <w:szCs w:val="32"/>
        </w:rPr>
      </w:pPr>
      <w:r>
        <w:rPr>
          <w:kern w:val="0"/>
          <w:szCs w:val="32"/>
        </w:rPr>
        <w:t>时间：XXXX年XX月XX日XX点XX分</w:t>
      </w:r>
      <w:r>
        <w:rPr>
          <w:bCs/>
          <w:szCs w:val="32"/>
        </w:rPr>
        <w:t>—</w:t>
      </w:r>
      <w:r>
        <w:rPr>
          <w:kern w:val="0"/>
          <w:szCs w:val="32"/>
        </w:rPr>
        <w:t>XXXX年XX月XX日XX点XX分（北京时间）；</w:t>
      </w:r>
    </w:p>
    <w:p>
      <w:pPr>
        <w:shd w:val="clear" w:color="auto" w:fill="FFFFFF"/>
        <w:overflowPunct/>
        <w:adjustRightInd/>
        <w:snapToGrid/>
        <w:spacing w:line="560" w:lineRule="exact"/>
        <w:ind w:firstLine="640"/>
        <w:jc w:val="left"/>
        <w:rPr>
          <w:kern w:val="0"/>
          <w:szCs w:val="32"/>
        </w:rPr>
      </w:pPr>
      <w:r>
        <w:rPr>
          <w:kern w:val="0"/>
          <w:szCs w:val="32"/>
        </w:rPr>
        <w:t>地点：XXXXXXXXXXX。</w:t>
      </w:r>
    </w:p>
    <w:p>
      <w:pPr>
        <w:shd w:val="clear" w:color="auto" w:fill="FFFFFF"/>
        <w:overflowPunct/>
        <w:adjustRightInd/>
        <w:snapToGrid/>
        <w:spacing w:line="560" w:lineRule="exact"/>
        <w:ind w:firstLine="640"/>
        <w:jc w:val="left"/>
        <w:rPr>
          <w:rFonts w:eastAsia="黑体"/>
          <w:bCs/>
          <w:szCs w:val="32"/>
        </w:rPr>
      </w:pPr>
      <w:r>
        <w:rPr>
          <w:rFonts w:eastAsia="黑体"/>
          <w:bCs/>
          <w:szCs w:val="32"/>
        </w:rPr>
        <w:t>五、开启</w:t>
      </w:r>
    </w:p>
    <w:p>
      <w:pPr>
        <w:shd w:val="clear" w:color="auto" w:fill="FFFFFF"/>
        <w:overflowPunct/>
        <w:adjustRightInd/>
        <w:snapToGrid/>
        <w:spacing w:line="560" w:lineRule="exact"/>
        <w:ind w:firstLine="640"/>
        <w:jc w:val="left"/>
        <w:rPr>
          <w:kern w:val="0"/>
          <w:szCs w:val="32"/>
        </w:rPr>
      </w:pPr>
      <w:r>
        <w:rPr>
          <w:kern w:val="0"/>
          <w:szCs w:val="32"/>
        </w:rPr>
        <w:t>5.1时间：XXXX年XX月XX日XX点XX分</w:t>
      </w:r>
      <w:r>
        <w:rPr>
          <w:bCs/>
          <w:szCs w:val="32"/>
        </w:rPr>
        <w:t>—</w:t>
      </w:r>
      <w:r>
        <w:rPr>
          <w:kern w:val="0"/>
          <w:szCs w:val="32"/>
        </w:rPr>
        <w:t>XXXX年XX月XX日XX点XX分（北京时间）；</w:t>
      </w:r>
    </w:p>
    <w:p>
      <w:pPr>
        <w:shd w:val="clear" w:color="auto" w:fill="FFFFFF"/>
        <w:overflowPunct/>
        <w:adjustRightInd/>
        <w:snapToGrid/>
        <w:spacing w:line="560" w:lineRule="exact"/>
        <w:ind w:firstLine="640"/>
        <w:jc w:val="left"/>
        <w:rPr>
          <w:b/>
          <w:szCs w:val="32"/>
        </w:rPr>
      </w:pPr>
      <w:r>
        <w:rPr>
          <w:kern w:val="0"/>
          <w:szCs w:val="32"/>
        </w:rPr>
        <w:t>5.2地点：XXXXXXXXXXX。</w:t>
      </w:r>
    </w:p>
    <w:p>
      <w:pPr>
        <w:shd w:val="clear" w:color="auto" w:fill="FFFFFF"/>
        <w:overflowPunct/>
        <w:adjustRightInd/>
        <w:snapToGrid/>
        <w:spacing w:line="560" w:lineRule="exact"/>
        <w:ind w:firstLine="640"/>
        <w:jc w:val="left"/>
        <w:rPr>
          <w:rFonts w:eastAsia="黑体"/>
          <w:kern w:val="0"/>
          <w:szCs w:val="32"/>
        </w:rPr>
      </w:pPr>
      <w:r>
        <w:rPr>
          <w:rFonts w:eastAsia="黑体"/>
          <w:kern w:val="0"/>
          <w:szCs w:val="32"/>
        </w:rPr>
        <w:t>六、公告期限</w:t>
      </w:r>
    </w:p>
    <w:p>
      <w:pPr>
        <w:shd w:val="clear" w:color="auto" w:fill="FFFFFF"/>
        <w:overflowPunct/>
        <w:adjustRightInd/>
        <w:snapToGrid/>
        <w:spacing w:line="560" w:lineRule="exact"/>
        <w:ind w:firstLine="640"/>
        <w:jc w:val="left"/>
        <w:rPr>
          <w:kern w:val="0"/>
          <w:szCs w:val="32"/>
        </w:rPr>
      </w:pPr>
      <w:r>
        <w:rPr>
          <w:kern w:val="0"/>
          <w:szCs w:val="32"/>
        </w:rPr>
        <w:t>自本公告发布之日起X个工作日。</w:t>
      </w:r>
    </w:p>
    <w:p>
      <w:pPr>
        <w:shd w:val="clear" w:color="auto" w:fill="FFFFFF"/>
        <w:overflowPunct/>
        <w:adjustRightInd/>
        <w:snapToGrid/>
        <w:spacing w:line="560" w:lineRule="exact"/>
        <w:ind w:firstLine="640"/>
        <w:jc w:val="left"/>
        <w:rPr>
          <w:rFonts w:eastAsia="黑体"/>
          <w:kern w:val="0"/>
          <w:szCs w:val="32"/>
        </w:rPr>
      </w:pPr>
      <w:r>
        <w:rPr>
          <w:rFonts w:eastAsia="黑体"/>
          <w:szCs w:val="32"/>
        </w:rPr>
        <w:t>七</w:t>
      </w:r>
      <w:r>
        <w:rPr>
          <w:rFonts w:eastAsia="黑体"/>
          <w:kern w:val="0"/>
          <w:szCs w:val="32"/>
        </w:rPr>
        <w:t>、其他补充事宜</w:t>
      </w:r>
    </w:p>
    <w:p>
      <w:pPr>
        <w:shd w:val="clear" w:color="auto" w:fill="FFFFFF"/>
        <w:overflowPunct/>
        <w:adjustRightInd/>
        <w:snapToGrid/>
        <w:spacing w:line="560" w:lineRule="exact"/>
        <w:ind w:firstLine="640"/>
        <w:jc w:val="left"/>
        <w:rPr>
          <w:szCs w:val="32"/>
          <w:u w:val="wave"/>
        </w:rPr>
      </w:pPr>
      <w:r>
        <w:rPr>
          <w:bCs/>
          <w:kern w:val="0"/>
          <w:szCs w:val="32"/>
          <w:u w:val="wave"/>
        </w:rPr>
        <w:t>7.1本项目在</w:t>
      </w:r>
      <w:r>
        <w:rPr>
          <w:b/>
          <w:kern w:val="0"/>
          <w:szCs w:val="32"/>
          <w:u w:val="wave"/>
        </w:rPr>
        <w:t>“江苏省学校阳光食堂”网站</w:t>
      </w:r>
      <w:r>
        <w:rPr>
          <w:bCs/>
          <w:kern w:val="0"/>
          <w:szCs w:val="32"/>
          <w:u w:val="wave"/>
        </w:rPr>
        <w:t>发布公告（其他媒体转载无效）。</w:t>
      </w:r>
    </w:p>
    <w:p>
      <w:pPr>
        <w:overflowPunct/>
        <w:adjustRightInd/>
        <w:snapToGrid/>
        <w:spacing w:line="560" w:lineRule="exact"/>
        <w:ind w:firstLine="640"/>
        <w:jc w:val="left"/>
        <w:rPr>
          <w:bCs/>
          <w:szCs w:val="32"/>
        </w:rPr>
      </w:pPr>
      <w:r>
        <w:rPr>
          <w:bCs/>
          <w:szCs w:val="32"/>
        </w:rPr>
        <w:t>7.2</w:t>
      </w:r>
      <w:r>
        <w:rPr>
          <w:rFonts w:hint="eastAsia"/>
          <w:bCs/>
          <w:szCs w:val="32"/>
        </w:rPr>
        <w:t>勘查现场</w:t>
      </w:r>
      <w:r>
        <w:rPr>
          <w:bCs/>
          <w:szCs w:val="32"/>
        </w:rPr>
        <w:t>或答疑：本项目组织统一现场答疑。 答疑时间：XXXXX  答疑地点：XXXXXX</w:t>
      </w:r>
    </w:p>
    <w:p>
      <w:pPr>
        <w:shd w:val="clear" w:color="auto" w:fill="FFFFFF"/>
        <w:overflowPunct/>
        <w:adjustRightInd/>
        <w:snapToGrid/>
        <w:spacing w:line="560" w:lineRule="exact"/>
        <w:ind w:firstLine="640"/>
        <w:jc w:val="left"/>
        <w:rPr>
          <w:rFonts w:eastAsia="黑体"/>
          <w:kern w:val="0"/>
          <w:szCs w:val="32"/>
        </w:rPr>
      </w:pPr>
      <w:r>
        <w:rPr>
          <w:rFonts w:eastAsia="黑体"/>
          <w:kern w:val="0"/>
          <w:szCs w:val="32"/>
        </w:rPr>
        <w:t>八、对本次招标提出询问，请按以下方式联系</w:t>
      </w:r>
    </w:p>
    <w:p>
      <w:pPr>
        <w:shd w:val="clear" w:color="auto" w:fill="FFFFFF"/>
        <w:overflowPunct/>
        <w:adjustRightInd/>
        <w:snapToGrid/>
        <w:spacing w:line="560" w:lineRule="exact"/>
        <w:ind w:firstLine="640"/>
        <w:jc w:val="left"/>
        <w:rPr>
          <w:bCs/>
          <w:kern w:val="0"/>
          <w:szCs w:val="32"/>
        </w:rPr>
      </w:pPr>
      <w:r>
        <w:rPr>
          <w:bCs/>
          <w:kern w:val="0"/>
          <w:szCs w:val="32"/>
        </w:rPr>
        <w:t>8.1采购人信息</w:t>
      </w:r>
    </w:p>
    <w:p>
      <w:pPr>
        <w:shd w:val="clear" w:color="auto" w:fill="FFFFFF"/>
        <w:overflowPunct/>
        <w:adjustRightInd/>
        <w:snapToGrid/>
        <w:spacing w:line="560" w:lineRule="exact"/>
        <w:ind w:firstLine="640"/>
        <w:jc w:val="left"/>
        <w:rPr>
          <w:bCs/>
          <w:kern w:val="0"/>
          <w:szCs w:val="32"/>
        </w:rPr>
      </w:pPr>
      <w:r>
        <w:rPr>
          <w:bCs/>
          <w:kern w:val="0"/>
          <w:szCs w:val="32"/>
        </w:rPr>
        <w:t>名  称：XXXX</w:t>
      </w:r>
    </w:p>
    <w:p>
      <w:pPr>
        <w:shd w:val="clear" w:color="auto" w:fill="FFFFFF"/>
        <w:overflowPunct/>
        <w:adjustRightInd/>
        <w:snapToGrid/>
        <w:spacing w:line="560" w:lineRule="exact"/>
        <w:ind w:firstLine="640"/>
        <w:jc w:val="left"/>
        <w:rPr>
          <w:bCs/>
          <w:kern w:val="0"/>
          <w:szCs w:val="32"/>
        </w:rPr>
      </w:pPr>
      <w:r>
        <w:rPr>
          <w:bCs/>
          <w:kern w:val="0"/>
          <w:szCs w:val="32"/>
        </w:rPr>
        <w:t>地  址：XXXX</w:t>
      </w:r>
    </w:p>
    <w:p>
      <w:pPr>
        <w:shd w:val="clear" w:color="auto" w:fill="FFFFFF"/>
        <w:overflowPunct/>
        <w:adjustRightInd/>
        <w:snapToGrid/>
        <w:spacing w:line="560" w:lineRule="exact"/>
        <w:ind w:firstLine="640"/>
        <w:jc w:val="left"/>
        <w:rPr>
          <w:bCs/>
          <w:kern w:val="0"/>
          <w:szCs w:val="32"/>
        </w:rPr>
      </w:pPr>
      <w:r>
        <w:rPr>
          <w:bCs/>
          <w:kern w:val="0"/>
          <w:szCs w:val="32"/>
        </w:rPr>
        <w:t>联系人：XXXX</w:t>
      </w:r>
    </w:p>
    <w:p>
      <w:pPr>
        <w:shd w:val="clear" w:color="auto" w:fill="FFFFFF"/>
        <w:overflowPunct/>
        <w:adjustRightInd/>
        <w:snapToGrid/>
        <w:spacing w:line="560" w:lineRule="exact"/>
        <w:ind w:firstLine="640"/>
        <w:jc w:val="left"/>
        <w:rPr>
          <w:bCs/>
          <w:kern w:val="0"/>
          <w:szCs w:val="32"/>
        </w:rPr>
      </w:pPr>
      <w:r>
        <w:rPr>
          <w:bCs/>
          <w:kern w:val="0"/>
          <w:szCs w:val="32"/>
        </w:rPr>
        <w:t>联系电话：XXXX</w:t>
      </w:r>
    </w:p>
    <w:p>
      <w:pPr>
        <w:shd w:val="clear" w:color="auto" w:fill="FFFFFF"/>
        <w:overflowPunct/>
        <w:adjustRightInd/>
        <w:snapToGrid/>
        <w:spacing w:line="560" w:lineRule="exact"/>
        <w:ind w:firstLine="640"/>
        <w:jc w:val="left"/>
        <w:rPr>
          <w:bCs/>
          <w:kern w:val="0"/>
          <w:szCs w:val="32"/>
        </w:rPr>
      </w:pPr>
      <w:r>
        <w:rPr>
          <w:bCs/>
          <w:kern w:val="0"/>
          <w:szCs w:val="32"/>
        </w:rPr>
        <w:t>8.2采购代理机构信息（如有）</w:t>
      </w:r>
    </w:p>
    <w:p>
      <w:pPr>
        <w:shd w:val="clear" w:color="auto" w:fill="FFFFFF"/>
        <w:overflowPunct/>
        <w:adjustRightInd/>
        <w:snapToGrid/>
        <w:spacing w:line="560" w:lineRule="exact"/>
        <w:ind w:firstLine="640"/>
        <w:jc w:val="left"/>
        <w:rPr>
          <w:bCs/>
          <w:kern w:val="0"/>
          <w:szCs w:val="32"/>
        </w:rPr>
      </w:pPr>
      <w:r>
        <w:rPr>
          <w:bCs/>
          <w:kern w:val="0"/>
          <w:szCs w:val="32"/>
        </w:rPr>
        <w:t>名  称：XXXX</w:t>
      </w:r>
    </w:p>
    <w:p>
      <w:pPr>
        <w:shd w:val="clear" w:color="auto" w:fill="FFFFFF"/>
        <w:overflowPunct/>
        <w:adjustRightInd/>
        <w:snapToGrid/>
        <w:spacing w:line="560" w:lineRule="exact"/>
        <w:ind w:firstLine="640"/>
        <w:jc w:val="left"/>
        <w:rPr>
          <w:bCs/>
          <w:kern w:val="0"/>
          <w:szCs w:val="32"/>
        </w:rPr>
      </w:pPr>
      <w:r>
        <w:rPr>
          <w:bCs/>
          <w:kern w:val="0"/>
          <w:szCs w:val="32"/>
        </w:rPr>
        <w:t>地  址：XXXX</w:t>
      </w:r>
    </w:p>
    <w:p>
      <w:pPr>
        <w:shd w:val="clear" w:color="auto" w:fill="FFFFFF"/>
        <w:overflowPunct/>
        <w:adjustRightInd/>
        <w:snapToGrid/>
        <w:spacing w:line="560" w:lineRule="exact"/>
        <w:ind w:firstLine="640"/>
        <w:jc w:val="left"/>
        <w:rPr>
          <w:bCs/>
          <w:kern w:val="0"/>
          <w:szCs w:val="32"/>
        </w:rPr>
      </w:pPr>
      <w:r>
        <w:rPr>
          <w:bCs/>
          <w:kern w:val="0"/>
          <w:szCs w:val="32"/>
        </w:rPr>
        <w:t>邮  箱：XXXX</w:t>
      </w:r>
    </w:p>
    <w:p>
      <w:pPr>
        <w:shd w:val="clear" w:color="auto" w:fill="FFFFFF"/>
        <w:overflowPunct/>
        <w:adjustRightInd/>
        <w:snapToGrid/>
        <w:spacing w:line="560" w:lineRule="exact"/>
        <w:ind w:firstLine="640"/>
        <w:jc w:val="left"/>
        <w:rPr>
          <w:bCs/>
          <w:kern w:val="0"/>
          <w:szCs w:val="32"/>
        </w:rPr>
      </w:pPr>
      <w:r>
        <w:rPr>
          <w:bCs/>
          <w:kern w:val="0"/>
          <w:szCs w:val="32"/>
        </w:rPr>
        <w:t>联系人：XXXX</w:t>
      </w:r>
    </w:p>
    <w:p>
      <w:pPr>
        <w:shd w:val="clear" w:color="auto" w:fill="FFFFFF"/>
        <w:overflowPunct/>
        <w:adjustRightInd/>
        <w:snapToGrid/>
        <w:spacing w:line="560" w:lineRule="exact"/>
        <w:ind w:firstLine="640"/>
        <w:jc w:val="left"/>
        <w:rPr>
          <w:bCs/>
          <w:kern w:val="0"/>
          <w:szCs w:val="32"/>
        </w:rPr>
      </w:pPr>
      <w:r>
        <w:rPr>
          <w:bCs/>
          <w:kern w:val="0"/>
          <w:szCs w:val="32"/>
        </w:rPr>
        <w:t>联系电话：XXXX</w:t>
      </w:r>
    </w:p>
    <w:p>
      <w:pPr>
        <w:shd w:val="clear" w:color="auto" w:fill="FFFFFF"/>
        <w:overflowPunct/>
        <w:adjustRightInd/>
        <w:snapToGrid/>
        <w:spacing w:line="560" w:lineRule="exact"/>
        <w:ind w:firstLine="640"/>
        <w:jc w:val="left"/>
        <w:rPr>
          <w:bCs/>
          <w:kern w:val="0"/>
          <w:szCs w:val="32"/>
        </w:rPr>
      </w:pPr>
      <w:r>
        <w:rPr>
          <w:bCs/>
          <w:kern w:val="0"/>
          <w:szCs w:val="32"/>
        </w:rPr>
        <w:t>8.3项目联系方式</w:t>
      </w:r>
    </w:p>
    <w:p>
      <w:pPr>
        <w:shd w:val="clear" w:color="auto" w:fill="FFFFFF"/>
        <w:overflowPunct/>
        <w:adjustRightInd/>
        <w:snapToGrid/>
        <w:spacing w:line="560" w:lineRule="exact"/>
        <w:ind w:firstLine="640"/>
        <w:jc w:val="left"/>
        <w:rPr>
          <w:kern w:val="0"/>
          <w:szCs w:val="32"/>
        </w:rPr>
      </w:pPr>
      <w:r>
        <w:rPr>
          <w:kern w:val="0"/>
          <w:szCs w:val="32"/>
        </w:rPr>
        <w:t>联系人：XXXX</w:t>
      </w:r>
    </w:p>
    <w:p>
      <w:pPr>
        <w:shd w:val="clear" w:color="auto" w:fill="FFFFFF"/>
        <w:overflowPunct/>
        <w:adjustRightInd/>
        <w:snapToGrid/>
        <w:spacing w:line="560" w:lineRule="exact"/>
        <w:ind w:firstLine="640"/>
        <w:jc w:val="left"/>
        <w:rPr>
          <w:szCs w:val="32"/>
        </w:rPr>
      </w:pPr>
      <w:r>
        <w:rPr>
          <w:kern w:val="0"/>
          <w:szCs w:val="32"/>
        </w:rPr>
        <w:t>联系电话：XXXX</w:t>
      </w:r>
      <w:r>
        <w:rPr>
          <w:szCs w:val="32"/>
        </w:rPr>
        <w:t xml:space="preserve">   </w:t>
      </w: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0" w:firstLineChars="0"/>
        <w:jc w:val="left"/>
        <w:rPr>
          <w:szCs w:val="32"/>
        </w:rPr>
      </w:pPr>
    </w:p>
    <w:p>
      <w:pPr>
        <w:shd w:val="clear" w:color="auto" w:fill="FFFFFF"/>
        <w:overflowPunct/>
        <w:adjustRightInd/>
        <w:snapToGrid/>
        <w:spacing w:line="560" w:lineRule="exact"/>
        <w:ind w:firstLine="640"/>
        <w:jc w:val="left"/>
        <w:rPr>
          <w:szCs w:val="32"/>
        </w:rPr>
      </w:pPr>
      <w:r>
        <w:rPr>
          <w:szCs w:val="32"/>
        </w:rPr>
        <w:t>特别说明：</w:t>
      </w:r>
    </w:p>
    <w:p>
      <w:pPr>
        <w:shd w:val="clear" w:color="auto" w:fill="FFFFFF"/>
        <w:overflowPunct/>
        <w:adjustRightInd/>
        <w:snapToGrid/>
        <w:spacing w:line="560" w:lineRule="exact"/>
        <w:ind w:firstLine="640"/>
        <w:jc w:val="left"/>
        <w:rPr>
          <w:szCs w:val="32"/>
        </w:rPr>
      </w:pPr>
      <w:r>
        <w:rPr>
          <w:szCs w:val="32"/>
        </w:rPr>
        <w:t>本招标文件适用于✕✕县（市、区）</w:t>
      </w:r>
      <w:r>
        <w:rPr>
          <w:rFonts w:hint="eastAsia"/>
          <w:szCs w:val="32"/>
        </w:rPr>
        <w:t>学校</w:t>
      </w:r>
      <w:r>
        <w:rPr>
          <w:szCs w:val="32"/>
        </w:rPr>
        <w:t>食材统一公开招标采购。由</w:t>
      </w:r>
      <w:r>
        <w:rPr>
          <w:rFonts w:hint="eastAsia"/>
          <w:szCs w:val="32"/>
        </w:rPr>
        <w:t>学校</w:t>
      </w:r>
      <w:r>
        <w:rPr>
          <w:szCs w:val="32"/>
        </w:rPr>
        <w:t>成立食材采购联合体负责制定，由✕✕县（市、区）</w:t>
      </w:r>
      <w:r>
        <w:rPr>
          <w:rFonts w:hint="eastAsia"/>
          <w:szCs w:val="32"/>
        </w:rPr>
        <w:t>中小学食材招标工作组</w:t>
      </w:r>
      <w:r>
        <w:rPr>
          <w:szCs w:val="32"/>
        </w:rPr>
        <w:t>进行监督指导，在“江苏省学校阳光食堂”网站（https://xxgs.jsed.edu.cn/）发布，入围投标人可以上网免费下载电子文档，不需购买（亦不提供）纸质招标文件。</w:t>
      </w:r>
    </w:p>
    <w:p>
      <w:pPr>
        <w:widowControl/>
        <w:overflowPunct/>
        <w:adjustRightInd/>
        <w:snapToGrid/>
        <w:spacing w:line="240" w:lineRule="auto"/>
        <w:ind w:firstLine="640"/>
        <w:jc w:val="left"/>
        <w:rPr>
          <w:szCs w:val="32"/>
        </w:rPr>
      </w:pPr>
      <w:r>
        <w:rPr>
          <w:szCs w:val="32"/>
        </w:rPr>
        <w:br w:type="page"/>
      </w:r>
    </w:p>
    <w:p>
      <w:pPr>
        <w:keepNext/>
        <w:keepLines/>
        <w:spacing w:before="340" w:after="330" w:line="560" w:lineRule="exact"/>
        <w:ind w:firstLine="0" w:firstLineChars="0"/>
        <w:jc w:val="center"/>
        <w:outlineLvl w:val="0"/>
        <w:rPr>
          <w:rFonts w:eastAsia="方正小标宋简体"/>
          <w:kern w:val="44"/>
          <w:sz w:val="44"/>
          <w:szCs w:val="44"/>
        </w:rPr>
      </w:pPr>
      <w:bookmarkStart w:id="74" w:name="_Toc8459"/>
      <w:r>
        <w:rPr>
          <w:rFonts w:eastAsia="方正小标宋简体"/>
          <w:kern w:val="44"/>
          <w:sz w:val="44"/>
          <w:szCs w:val="44"/>
        </w:rPr>
        <w:t>第二章 投标人须知</w:t>
      </w:r>
      <w:bookmarkEnd w:id="74"/>
    </w:p>
    <w:p>
      <w:pPr>
        <w:shd w:val="clear" w:color="auto" w:fill="FFFFFF"/>
        <w:overflowPunct/>
        <w:adjustRightInd/>
        <w:snapToGrid/>
        <w:spacing w:line="560" w:lineRule="exact"/>
        <w:ind w:firstLine="640"/>
        <w:rPr>
          <w:rFonts w:eastAsia="黑体"/>
          <w:kern w:val="0"/>
          <w:szCs w:val="32"/>
        </w:rPr>
      </w:pPr>
      <w:r>
        <w:rPr>
          <w:rFonts w:eastAsia="黑体"/>
          <w:kern w:val="0"/>
          <w:szCs w:val="32"/>
        </w:rPr>
        <w:t>一、总 则</w:t>
      </w:r>
    </w:p>
    <w:p>
      <w:pPr>
        <w:shd w:val="clear" w:color="auto" w:fill="FFFFFF"/>
        <w:overflowPunct/>
        <w:adjustRightInd/>
        <w:snapToGrid/>
        <w:spacing w:line="560" w:lineRule="exact"/>
        <w:ind w:firstLine="640"/>
        <w:rPr>
          <w:kern w:val="0"/>
          <w:szCs w:val="32"/>
        </w:rPr>
      </w:pPr>
      <w:r>
        <w:rPr>
          <w:kern w:val="0"/>
          <w:szCs w:val="32"/>
        </w:rPr>
        <w:t>1.</w:t>
      </w:r>
      <w:r>
        <w:rPr>
          <w:rFonts w:hint="eastAsia"/>
          <w:kern w:val="0"/>
          <w:szCs w:val="32"/>
        </w:rPr>
        <w:t>适用法律</w:t>
      </w:r>
    </w:p>
    <w:p>
      <w:pPr>
        <w:shd w:val="clear" w:color="auto" w:fill="FFFFFF"/>
        <w:overflowPunct/>
        <w:adjustRightInd/>
        <w:snapToGrid/>
        <w:spacing w:line="560" w:lineRule="exact"/>
        <w:ind w:firstLine="640"/>
        <w:rPr>
          <w:kern w:val="0"/>
          <w:szCs w:val="32"/>
        </w:rPr>
      </w:pPr>
      <w:r>
        <w:rPr>
          <w:kern w:val="0"/>
          <w:szCs w:val="32"/>
        </w:rPr>
        <w:t>1.1本次采购参照《中华人民共和国政府采购法</w:t>
      </w:r>
      <w:r>
        <w:rPr>
          <w:rFonts w:hint="eastAsia"/>
          <w:kern w:val="0"/>
          <w:szCs w:val="32"/>
        </w:rPr>
        <w:t>》《</w:t>
      </w:r>
      <w:r>
        <w:rPr>
          <w:kern w:val="0"/>
          <w:szCs w:val="32"/>
        </w:rPr>
        <w:t>中华人民共和国政府采购法实施条例》等有关法律、规章和规定等。</w:t>
      </w:r>
    </w:p>
    <w:p>
      <w:pPr>
        <w:shd w:val="clear" w:color="auto" w:fill="FFFFFF"/>
        <w:overflowPunct/>
        <w:adjustRightInd/>
        <w:snapToGrid/>
        <w:spacing w:line="560" w:lineRule="exact"/>
        <w:ind w:firstLine="640"/>
        <w:rPr>
          <w:kern w:val="0"/>
          <w:szCs w:val="32"/>
        </w:rPr>
      </w:pPr>
      <w:r>
        <w:rPr>
          <w:rFonts w:hint="eastAsia"/>
          <w:kern w:val="0"/>
          <w:szCs w:val="32"/>
        </w:rPr>
        <w:t>2.</w:t>
      </w:r>
      <w:r>
        <w:rPr>
          <w:kern w:val="0"/>
          <w:szCs w:val="32"/>
        </w:rPr>
        <w:t>定义</w:t>
      </w:r>
    </w:p>
    <w:p>
      <w:pPr>
        <w:shd w:val="clear" w:color="auto" w:fill="FFFFFF"/>
        <w:overflowPunct/>
        <w:adjustRightInd/>
        <w:snapToGrid/>
        <w:spacing w:line="560" w:lineRule="exact"/>
        <w:ind w:firstLine="640"/>
        <w:rPr>
          <w:kern w:val="0"/>
          <w:szCs w:val="32"/>
        </w:rPr>
      </w:pPr>
      <w:bookmarkStart w:id="75" w:name="_Hlk44576213"/>
      <w:r>
        <w:rPr>
          <w:kern w:val="0"/>
          <w:szCs w:val="32"/>
        </w:rPr>
        <w:t>2.1“采购人”是指XXXX。</w:t>
      </w:r>
      <w:bookmarkEnd w:id="75"/>
    </w:p>
    <w:p>
      <w:pPr>
        <w:shd w:val="clear" w:color="auto" w:fill="FFFFFF"/>
        <w:overflowPunct/>
        <w:adjustRightInd/>
        <w:snapToGrid/>
        <w:spacing w:line="560" w:lineRule="exact"/>
        <w:ind w:firstLine="640"/>
        <w:rPr>
          <w:kern w:val="0"/>
          <w:szCs w:val="32"/>
        </w:rPr>
      </w:pPr>
      <w:r>
        <w:rPr>
          <w:kern w:val="0"/>
          <w:szCs w:val="32"/>
        </w:rPr>
        <w:t>2.2“投标人”是指参加投标竞争，并符合招标文件规定资格条件的法人、其他组织或者自然人。</w:t>
      </w:r>
    </w:p>
    <w:p>
      <w:pPr>
        <w:shd w:val="clear" w:color="auto" w:fill="FFFFFF"/>
        <w:overflowPunct/>
        <w:adjustRightInd/>
        <w:snapToGrid/>
        <w:spacing w:line="560" w:lineRule="exact"/>
        <w:ind w:firstLine="640"/>
        <w:rPr>
          <w:kern w:val="0"/>
          <w:szCs w:val="32"/>
        </w:rPr>
      </w:pPr>
      <w:bookmarkStart w:id="76" w:name="_Hlk44576222"/>
      <w:r>
        <w:rPr>
          <w:kern w:val="0"/>
          <w:szCs w:val="32"/>
        </w:rPr>
        <w:t>2.3“采购代理机构”是指XXXX。</w:t>
      </w:r>
    </w:p>
    <w:bookmarkEnd w:id="76"/>
    <w:p>
      <w:pPr>
        <w:shd w:val="clear" w:color="auto" w:fill="FFFFFF"/>
        <w:overflowPunct/>
        <w:adjustRightInd/>
        <w:snapToGrid/>
        <w:spacing w:line="560" w:lineRule="exact"/>
        <w:ind w:firstLine="640"/>
        <w:rPr>
          <w:kern w:val="0"/>
          <w:szCs w:val="32"/>
        </w:rPr>
      </w:pPr>
      <w:r>
        <w:rPr>
          <w:kern w:val="0"/>
          <w:szCs w:val="32"/>
        </w:rPr>
        <w:t>2.4“货物和服务”指本招标文件中所述</w:t>
      </w:r>
      <w:r>
        <w:rPr>
          <w:bCs/>
          <w:kern w:val="0"/>
          <w:szCs w:val="32"/>
        </w:rPr>
        <w:t>产品及配套服务</w:t>
      </w:r>
      <w:r>
        <w:rPr>
          <w:kern w:val="0"/>
          <w:szCs w:val="32"/>
        </w:rPr>
        <w:t>。</w:t>
      </w:r>
    </w:p>
    <w:p>
      <w:pPr>
        <w:shd w:val="clear" w:color="auto" w:fill="FFFFFF"/>
        <w:overflowPunct/>
        <w:adjustRightInd/>
        <w:snapToGrid/>
        <w:spacing w:line="560" w:lineRule="exact"/>
        <w:ind w:firstLine="640"/>
        <w:rPr>
          <w:rFonts w:eastAsia="黑体"/>
          <w:kern w:val="0"/>
          <w:szCs w:val="32"/>
        </w:rPr>
      </w:pPr>
      <w:r>
        <w:rPr>
          <w:rFonts w:eastAsia="黑体"/>
          <w:kern w:val="0"/>
          <w:szCs w:val="32"/>
        </w:rPr>
        <w:t xml:space="preserve">二、招标文件构成 </w:t>
      </w:r>
    </w:p>
    <w:p>
      <w:pPr>
        <w:shd w:val="clear" w:color="auto" w:fill="FFFFFF"/>
        <w:overflowPunct/>
        <w:adjustRightInd/>
        <w:snapToGrid/>
        <w:spacing w:line="560" w:lineRule="exact"/>
        <w:ind w:firstLine="643"/>
        <w:rPr>
          <w:kern w:val="0"/>
          <w:szCs w:val="32"/>
        </w:rPr>
      </w:pPr>
      <w:r>
        <w:rPr>
          <w:rFonts w:hint="eastAsia"/>
          <w:b/>
          <w:bCs/>
          <w:kern w:val="0"/>
          <w:szCs w:val="32"/>
        </w:rPr>
        <w:t>4.</w:t>
      </w:r>
      <w:r>
        <w:rPr>
          <w:b/>
          <w:bCs/>
          <w:kern w:val="0"/>
          <w:szCs w:val="32"/>
        </w:rPr>
        <w:t xml:space="preserve">招标文件组成 </w:t>
      </w:r>
    </w:p>
    <w:p>
      <w:pPr>
        <w:shd w:val="clear" w:color="auto" w:fill="FFFFFF"/>
        <w:overflowPunct/>
        <w:adjustRightInd/>
        <w:snapToGrid/>
        <w:spacing w:line="560" w:lineRule="exact"/>
        <w:ind w:firstLine="640"/>
        <w:rPr>
          <w:kern w:val="0"/>
          <w:szCs w:val="32"/>
        </w:rPr>
      </w:pPr>
      <w:r>
        <w:rPr>
          <w:kern w:val="0"/>
          <w:szCs w:val="32"/>
        </w:rPr>
        <w:t>4.1招标文件包括以下主要内容：招标公告；投标人须知（包括投标文件的密封、签署、盖章要求等）；投标人应当提交的资格或资信证明文件；采购标的需满足的要求，以及投标人须提供的证明材料；投标文件编制要求、投标报价要求；采购项目预算金额，设定最高限价的，还应当公开最高限价；采购项目的技术规格、数量、服务标准、验收等要求，包括附件、图纸等；拟签订的合同文本；货物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pPr>
        <w:shd w:val="clear" w:color="auto" w:fill="FFFFFF"/>
        <w:overflowPunct/>
        <w:adjustRightInd/>
        <w:snapToGrid/>
        <w:spacing w:line="560" w:lineRule="exact"/>
        <w:ind w:firstLine="640"/>
        <w:rPr>
          <w:kern w:val="0"/>
          <w:szCs w:val="32"/>
        </w:rPr>
      </w:pPr>
      <w:r>
        <w:rPr>
          <w:kern w:val="0"/>
          <w:szCs w:val="32"/>
        </w:rPr>
        <w:t>4.2 采购的最小单位是</w:t>
      </w:r>
      <w:r>
        <w:rPr>
          <w:rFonts w:hint="eastAsia"/>
          <w:kern w:val="0"/>
          <w:szCs w:val="32"/>
        </w:rPr>
        <w:t>升</w:t>
      </w:r>
      <w:r>
        <w:rPr>
          <w:kern w:val="0"/>
          <w:szCs w:val="32"/>
        </w:rPr>
        <w:t>。采购货物数量及技术要求中未分包的，投标人对要求提供的货物不得部分投标；</w:t>
      </w:r>
      <w:r>
        <w:rPr>
          <w:szCs w:val="32"/>
        </w:rPr>
        <w:t>采购</w:t>
      </w:r>
      <w:r>
        <w:rPr>
          <w:kern w:val="0"/>
          <w:szCs w:val="32"/>
        </w:rPr>
        <w:t>货物数量及技术要求中已经分包的，可以以包为单位投标。</w:t>
      </w:r>
    </w:p>
    <w:p>
      <w:pPr>
        <w:shd w:val="clear" w:color="auto" w:fill="FFFFFF"/>
        <w:overflowPunct/>
        <w:adjustRightInd/>
        <w:snapToGrid/>
        <w:spacing w:line="560" w:lineRule="exact"/>
        <w:ind w:firstLine="640"/>
        <w:rPr>
          <w:kern w:val="0"/>
          <w:szCs w:val="32"/>
        </w:rPr>
      </w:pPr>
      <w:r>
        <w:rPr>
          <w:kern w:val="0"/>
          <w:szCs w:val="32"/>
        </w:rPr>
        <w:t>4.3 采购代理机构如果要求投标人按照招标文件规定提交备选投标方案的，投标人可以提交备选方案；否则，备选方案将被拒绝。</w:t>
      </w:r>
    </w:p>
    <w:p>
      <w:pPr>
        <w:shd w:val="clear" w:color="auto" w:fill="FFFFFF"/>
        <w:overflowPunct/>
        <w:adjustRightInd/>
        <w:snapToGrid/>
        <w:spacing w:line="560" w:lineRule="exact"/>
        <w:ind w:firstLine="643"/>
        <w:rPr>
          <w:kern w:val="0"/>
          <w:szCs w:val="32"/>
        </w:rPr>
      </w:pPr>
      <w:r>
        <w:rPr>
          <w:rFonts w:hint="eastAsia"/>
          <w:b/>
          <w:bCs/>
          <w:kern w:val="0"/>
          <w:szCs w:val="32"/>
        </w:rPr>
        <w:t>5.</w:t>
      </w:r>
      <w:r>
        <w:rPr>
          <w:b/>
          <w:bCs/>
          <w:kern w:val="0"/>
          <w:szCs w:val="32"/>
        </w:rPr>
        <w:t>招标文件的澄清或者修改</w:t>
      </w:r>
    </w:p>
    <w:p>
      <w:pPr>
        <w:shd w:val="clear" w:color="auto" w:fill="FFFFFF"/>
        <w:overflowPunct/>
        <w:adjustRightInd/>
        <w:snapToGrid/>
        <w:spacing w:line="560" w:lineRule="exact"/>
        <w:ind w:firstLine="640"/>
        <w:rPr>
          <w:kern w:val="0"/>
          <w:szCs w:val="32"/>
        </w:rPr>
      </w:pPr>
      <w:r>
        <w:rPr>
          <w:kern w:val="0"/>
          <w:szCs w:val="32"/>
        </w:rPr>
        <w:t>5.1采购人或者采购代理机构可以对已发出的招标文件、</w:t>
      </w:r>
      <w:r>
        <w:rPr>
          <w:rFonts w:hint="eastAsia"/>
          <w:kern w:val="0"/>
          <w:szCs w:val="32"/>
        </w:rPr>
        <w:t>资格审查</w:t>
      </w:r>
      <w:r>
        <w:rPr>
          <w:kern w:val="0"/>
          <w:szCs w:val="32"/>
        </w:rPr>
        <w:t>文件、投标邀请进行必要的澄清或者修改，但不得改变采购标的和资格条件。澄清或者修改应当在原公告发布媒体上发布澄清公告。澄清或者修改的内容为招标文件、</w:t>
      </w:r>
      <w:r>
        <w:rPr>
          <w:rFonts w:hint="eastAsia"/>
          <w:kern w:val="0"/>
          <w:szCs w:val="32"/>
        </w:rPr>
        <w:t>资格审查</w:t>
      </w:r>
      <w:r>
        <w:rPr>
          <w:kern w:val="0"/>
          <w:szCs w:val="32"/>
        </w:rPr>
        <w:t>文件、投标邀请的组成部分。</w:t>
      </w:r>
    </w:p>
    <w:p>
      <w:pPr>
        <w:shd w:val="clear" w:color="auto" w:fill="FFFFFF"/>
        <w:overflowPunct/>
        <w:adjustRightInd/>
        <w:snapToGrid/>
        <w:spacing w:line="560" w:lineRule="exact"/>
        <w:ind w:firstLine="640"/>
        <w:rPr>
          <w:kern w:val="0"/>
          <w:szCs w:val="32"/>
        </w:rPr>
      </w:pPr>
      <w:r>
        <w:rPr>
          <w:kern w:val="0"/>
          <w:szCs w:val="32"/>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hd w:val="clear" w:color="auto" w:fill="FFFFFF"/>
        <w:overflowPunct/>
        <w:adjustRightInd/>
        <w:snapToGrid/>
        <w:spacing w:line="560" w:lineRule="exact"/>
        <w:ind w:firstLine="640"/>
        <w:rPr>
          <w:kern w:val="0"/>
          <w:szCs w:val="32"/>
        </w:rPr>
      </w:pPr>
      <w:r>
        <w:rPr>
          <w:kern w:val="0"/>
          <w:szCs w:val="32"/>
        </w:rPr>
        <w:t>5.2采购人或者采购代理机构在招标文件要求提交投标文件截止时间前，有权决定延长投标截止时间和开标时间，并在原采购信息发布媒体上发布变更公告。</w:t>
      </w:r>
    </w:p>
    <w:p>
      <w:pPr>
        <w:shd w:val="clear" w:color="auto" w:fill="FFFFFF"/>
        <w:overflowPunct/>
        <w:adjustRightInd/>
        <w:snapToGrid/>
        <w:spacing w:line="560" w:lineRule="exact"/>
        <w:ind w:firstLine="643"/>
        <w:rPr>
          <w:kern w:val="0"/>
          <w:szCs w:val="32"/>
        </w:rPr>
      </w:pPr>
      <w:r>
        <w:rPr>
          <w:b/>
          <w:bCs/>
          <w:kern w:val="0"/>
          <w:szCs w:val="32"/>
        </w:rPr>
        <w:t>三、投标文件的编制</w:t>
      </w:r>
    </w:p>
    <w:p>
      <w:pPr>
        <w:shd w:val="clear" w:color="auto" w:fill="FFFFFF"/>
        <w:overflowPunct/>
        <w:adjustRightInd/>
        <w:snapToGrid/>
        <w:spacing w:line="560" w:lineRule="exact"/>
        <w:ind w:firstLine="643"/>
        <w:rPr>
          <w:kern w:val="0"/>
          <w:szCs w:val="32"/>
        </w:rPr>
      </w:pPr>
      <w:r>
        <w:rPr>
          <w:rFonts w:hint="eastAsia"/>
          <w:b/>
          <w:bCs/>
          <w:kern w:val="0"/>
          <w:szCs w:val="32"/>
        </w:rPr>
        <w:t>6.</w:t>
      </w:r>
      <w:r>
        <w:rPr>
          <w:b/>
          <w:bCs/>
          <w:kern w:val="0"/>
          <w:szCs w:val="32"/>
        </w:rPr>
        <w:t>投标文件的语言、计量单位、货币和编制</w:t>
      </w:r>
    </w:p>
    <w:p>
      <w:pPr>
        <w:shd w:val="clear" w:color="auto" w:fill="FFFFFF"/>
        <w:overflowPunct/>
        <w:adjustRightInd/>
        <w:snapToGrid/>
        <w:spacing w:line="560" w:lineRule="exact"/>
        <w:ind w:firstLine="640"/>
        <w:rPr>
          <w:kern w:val="0"/>
          <w:szCs w:val="32"/>
        </w:rPr>
      </w:pPr>
      <w:r>
        <w:rPr>
          <w:kern w:val="0"/>
          <w:szCs w:val="32"/>
        </w:rPr>
        <w:t>6.1投标人提交的投标文件、技术文件和资料，包括图纸中的说明，以及投标人与代理机构就有关投标的所有来往函电均应使用中文。投标文件中若有英文或其他语言文字的资料，应提供相应的中文翻译资料。对不同文本投标文件的解释发生异议的，以中文文本为准。</w:t>
      </w:r>
    </w:p>
    <w:p>
      <w:pPr>
        <w:shd w:val="clear" w:color="auto" w:fill="FFFFFF"/>
        <w:overflowPunct/>
        <w:adjustRightInd/>
        <w:snapToGrid/>
        <w:spacing w:line="560" w:lineRule="exact"/>
        <w:ind w:firstLine="640"/>
        <w:rPr>
          <w:kern w:val="0"/>
          <w:szCs w:val="32"/>
        </w:rPr>
      </w:pPr>
      <w:r>
        <w:rPr>
          <w:kern w:val="0"/>
          <w:szCs w:val="32"/>
        </w:rPr>
        <w:t>6.2投标人所使用的计量单位应为国家法定计量单位。</w:t>
      </w:r>
    </w:p>
    <w:p>
      <w:pPr>
        <w:shd w:val="clear" w:color="auto" w:fill="FFFFFF"/>
        <w:overflowPunct/>
        <w:adjustRightInd/>
        <w:snapToGrid/>
        <w:spacing w:line="560" w:lineRule="exact"/>
        <w:ind w:firstLine="640"/>
        <w:rPr>
          <w:kern w:val="0"/>
          <w:szCs w:val="32"/>
        </w:rPr>
      </w:pPr>
      <w:r>
        <w:rPr>
          <w:kern w:val="0"/>
          <w:szCs w:val="32"/>
        </w:rPr>
        <w:t>6.3投标人应用人民币报价。投标产品如果是进口产品的，应提供人民币与外币之间的汇率；报价单位为“元”。</w:t>
      </w:r>
    </w:p>
    <w:p>
      <w:pPr>
        <w:shd w:val="clear" w:color="auto" w:fill="FFFFFF"/>
        <w:overflowPunct/>
        <w:adjustRightInd/>
        <w:snapToGrid/>
        <w:spacing w:line="560" w:lineRule="exact"/>
        <w:ind w:firstLine="640"/>
        <w:rPr>
          <w:kern w:val="0"/>
          <w:szCs w:val="32"/>
        </w:rPr>
      </w:pPr>
      <w:r>
        <w:rPr>
          <w:kern w:val="0"/>
          <w:szCs w:val="32"/>
        </w:rPr>
        <w:t>6.4投标文件应字迹清楚、内容齐全、不得涂改。如有修改，修改处须有投标人公章或投标专用章和法定代表人或其授权的委托代理人签字。</w:t>
      </w:r>
    </w:p>
    <w:p>
      <w:pPr>
        <w:shd w:val="clear" w:color="auto" w:fill="FFFFFF"/>
        <w:overflowPunct/>
        <w:adjustRightInd/>
        <w:snapToGrid/>
        <w:spacing w:line="560" w:lineRule="exact"/>
        <w:ind w:firstLine="640"/>
        <w:rPr>
          <w:kern w:val="0"/>
          <w:szCs w:val="32"/>
        </w:rPr>
      </w:pPr>
      <w:r>
        <w:rPr>
          <w:kern w:val="0"/>
          <w:szCs w:val="32"/>
        </w:rPr>
        <w:t>6.5投标文件应按照招标文件规定的顺序，统一用A4规格幅面打印、装订成册并编制目录，由于编排混乱导致投标文件被误读或查找不到，责任由投标人承担。</w:t>
      </w:r>
    </w:p>
    <w:p>
      <w:pPr>
        <w:shd w:val="clear" w:color="auto" w:fill="FFFFFF"/>
        <w:overflowPunct/>
        <w:adjustRightInd/>
        <w:snapToGrid/>
        <w:spacing w:line="560" w:lineRule="exact"/>
        <w:ind w:firstLine="640"/>
        <w:rPr>
          <w:kern w:val="0"/>
          <w:szCs w:val="32"/>
        </w:rPr>
      </w:pPr>
      <w:r>
        <w:rPr>
          <w:kern w:val="0"/>
          <w:szCs w:val="32"/>
        </w:rPr>
        <w:t>6.6投标人应在投标文件中写清相应的项目编号、项目名称、投标人全称、地址、电话、传真等。</w:t>
      </w:r>
    </w:p>
    <w:p>
      <w:pPr>
        <w:shd w:val="clear" w:color="auto" w:fill="FFFFFF"/>
        <w:overflowPunct/>
        <w:adjustRightInd/>
        <w:snapToGrid/>
        <w:spacing w:line="560" w:lineRule="exact"/>
        <w:ind w:firstLine="640"/>
        <w:rPr>
          <w:kern w:val="0"/>
          <w:szCs w:val="32"/>
        </w:rPr>
      </w:pPr>
      <w:r>
        <w:rPr>
          <w:kern w:val="0"/>
          <w:szCs w:val="32"/>
        </w:rPr>
        <w:t>6.7投标人根据招标文件载明的标的采购项目实际情况，拟在中标后将中标项目的非主体、非关键性工作交由他人完成的，应当在投标文件中载明。</w:t>
      </w:r>
    </w:p>
    <w:p>
      <w:pPr>
        <w:shd w:val="clear" w:color="auto" w:fill="FFFFFF"/>
        <w:overflowPunct/>
        <w:adjustRightInd/>
        <w:snapToGrid/>
        <w:spacing w:line="560" w:lineRule="exact"/>
        <w:ind w:firstLine="643"/>
        <w:rPr>
          <w:b/>
          <w:bCs/>
          <w:kern w:val="0"/>
          <w:szCs w:val="32"/>
        </w:rPr>
      </w:pPr>
      <w:r>
        <w:rPr>
          <w:rFonts w:hint="eastAsia"/>
          <w:b/>
          <w:bCs/>
          <w:kern w:val="0"/>
          <w:szCs w:val="32"/>
        </w:rPr>
        <w:t>7.</w:t>
      </w:r>
      <w:r>
        <w:rPr>
          <w:b/>
          <w:bCs/>
          <w:kern w:val="0"/>
          <w:szCs w:val="32"/>
        </w:rPr>
        <w:t>投标文件的组成</w:t>
      </w:r>
    </w:p>
    <w:p>
      <w:pPr>
        <w:shd w:val="clear" w:color="auto" w:fill="FFFFFF"/>
        <w:overflowPunct/>
        <w:adjustRightInd/>
        <w:snapToGrid/>
        <w:spacing w:line="560" w:lineRule="exact"/>
        <w:ind w:firstLine="640"/>
        <w:rPr>
          <w:kern w:val="0"/>
          <w:szCs w:val="32"/>
        </w:rPr>
      </w:pPr>
      <w:r>
        <w:rPr>
          <w:kern w:val="0"/>
          <w:szCs w:val="32"/>
        </w:rPr>
        <w:t>7.1投标人应当根据招标文件要求编制投标文件，投标文件应对招标文件提出的要求和条件作出实质性响应，并在《商务条款偏离表》和《技术规格偏离表》等处逐条标明满足与否。</w:t>
      </w:r>
    </w:p>
    <w:p>
      <w:pPr>
        <w:shd w:val="clear" w:color="auto" w:fill="FFFFFF"/>
        <w:overflowPunct/>
        <w:adjustRightInd/>
        <w:snapToGrid/>
        <w:spacing w:line="560" w:lineRule="exact"/>
        <w:ind w:firstLine="640"/>
        <w:rPr>
          <w:kern w:val="0"/>
          <w:szCs w:val="32"/>
        </w:rPr>
      </w:pPr>
      <w:r>
        <w:rPr>
          <w:kern w:val="0"/>
          <w:szCs w:val="32"/>
        </w:rPr>
        <w:t>7.2 投标文件由商务部分、技术部分、价格部分以及其他部分组成。</w:t>
      </w:r>
    </w:p>
    <w:p>
      <w:pPr>
        <w:shd w:val="clear" w:color="auto" w:fill="FFFFFF"/>
        <w:overflowPunct/>
        <w:adjustRightInd/>
        <w:snapToGrid/>
        <w:spacing w:line="560" w:lineRule="exact"/>
        <w:ind w:firstLine="643"/>
        <w:rPr>
          <w:b/>
          <w:bCs/>
          <w:kern w:val="0"/>
          <w:szCs w:val="32"/>
        </w:rPr>
      </w:pPr>
      <w:r>
        <w:rPr>
          <w:rFonts w:hint="eastAsia"/>
          <w:b/>
          <w:bCs/>
          <w:kern w:val="0"/>
          <w:szCs w:val="32"/>
        </w:rPr>
        <w:t>8.</w:t>
      </w:r>
      <w:r>
        <w:rPr>
          <w:b/>
          <w:bCs/>
          <w:kern w:val="0"/>
          <w:szCs w:val="32"/>
        </w:rPr>
        <w:t>投标文件的商务部分</w:t>
      </w:r>
    </w:p>
    <w:p>
      <w:pPr>
        <w:shd w:val="clear" w:color="auto" w:fill="FFFFFF"/>
        <w:overflowPunct/>
        <w:adjustRightInd/>
        <w:snapToGrid/>
        <w:spacing w:line="560" w:lineRule="exact"/>
        <w:ind w:firstLine="640"/>
        <w:rPr>
          <w:kern w:val="0"/>
          <w:szCs w:val="32"/>
        </w:rPr>
      </w:pPr>
      <w:r>
        <w:rPr>
          <w:kern w:val="0"/>
          <w:szCs w:val="32"/>
        </w:rPr>
        <w:t>8.1商务部分是证明投标人有资格参加投标和中标后有能力履行合同的文件，这些文件应能满足采购的要求，包括但不限于下列文件（（1）</w:t>
      </w:r>
      <w:r>
        <w:rPr>
          <w:rFonts w:hint="eastAsia"/>
          <w:kern w:val="0"/>
          <w:szCs w:val="32"/>
        </w:rPr>
        <w:t>－</w:t>
      </w:r>
      <w:r>
        <w:rPr>
          <w:kern w:val="0"/>
          <w:szCs w:val="32"/>
        </w:rPr>
        <w:t xml:space="preserve">（2）所述材料如提供不全或不满足招标文件的实质性要求，其投标文件按无效投标处理）：  </w:t>
      </w:r>
    </w:p>
    <w:p>
      <w:pPr>
        <w:shd w:val="clear" w:color="auto" w:fill="FFFFFF"/>
        <w:overflowPunct/>
        <w:adjustRightInd/>
        <w:snapToGrid/>
        <w:spacing w:line="560" w:lineRule="exact"/>
        <w:ind w:firstLine="640"/>
        <w:rPr>
          <w:kern w:val="0"/>
          <w:szCs w:val="32"/>
        </w:rPr>
      </w:pPr>
      <w:r>
        <w:rPr>
          <w:kern w:val="0"/>
          <w:szCs w:val="32"/>
        </w:rPr>
        <w:t>（1）投标函（投标申请及声明）（格式见附件）；</w:t>
      </w:r>
    </w:p>
    <w:p>
      <w:pPr>
        <w:shd w:val="clear" w:color="auto" w:fill="FFFFFF"/>
        <w:overflowPunct/>
        <w:adjustRightInd/>
        <w:snapToGrid/>
        <w:spacing w:line="560" w:lineRule="exact"/>
        <w:ind w:firstLine="640"/>
        <w:rPr>
          <w:kern w:val="0"/>
          <w:szCs w:val="32"/>
        </w:rPr>
      </w:pPr>
      <w:r>
        <w:rPr>
          <w:kern w:val="0"/>
          <w:szCs w:val="32"/>
        </w:rPr>
        <w:t>（2）法定代表人授权委托书及委托代理人的身份证明文件的复印件（格式见附件）；</w:t>
      </w:r>
    </w:p>
    <w:p>
      <w:pPr>
        <w:shd w:val="clear" w:color="auto" w:fill="FFFFFF"/>
        <w:overflowPunct/>
        <w:adjustRightInd/>
        <w:snapToGrid/>
        <w:spacing w:line="560" w:lineRule="exact"/>
        <w:ind w:firstLine="640"/>
        <w:rPr>
          <w:kern w:val="0"/>
          <w:szCs w:val="32"/>
        </w:rPr>
      </w:pPr>
      <w:r>
        <w:rPr>
          <w:kern w:val="0"/>
          <w:szCs w:val="32"/>
        </w:rPr>
        <w:t>（3）开标一览表（格式见附件）；</w:t>
      </w:r>
    </w:p>
    <w:p>
      <w:pPr>
        <w:shd w:val="clear" w:color="auto" w:fill="FFFFFF"/>
        <w:overflowPunct/>
        <w:adjustRightInd/>
        <w:snapToGrid/>
        <w:spacing w:line="560" w:lineRule="exact"/>
        <w:ind w:firstLine="640"/>
        <w:rPr>
          <w:kern w:val="0"/>
          <w:szCs w:val="32"/>
        </w:rPr>
      </w:pPr>
      <w:r>
        <w:rPr>
          <w:kern w:val="0"/>
          <w:szCs w:val="32"/>
        </w:rPr>
        <w:t>（4）分项报价表（如有）；</w:t>
      </w:r>
    </w:p>
    <w:p>
      <w:pPr>
        <w:shd w:val="clear" w:color="auto" w:fill="FFFFFF"/>
        <w:overflowPunct/>
        <w:adjustRightInd/>
        <w:snapToGrid/>
        <w:spacing w:line="560" w:lineRule="exact"/>
        <w:ind w:firstLine="640"/>
        <w:rPr>
          <w:kern w:val="0"/>
          <w:szCs w:val="32"/>
        </w:rPr>
      </w:pPr>
      <w:r>
        <w:rPr>
          <w:kern w:val="0"/>
          <w:szCs w:val="32"/>
        </w:rPr>
        <w:t>（5）《商务条款偏离表》；</w:t>
      </w:r>
    </w:p>
    <w:p>
      <w:pPr>
        <w:shd w:val="clear" w:color="auto" w:fill="FFFFFF"/>
        <w:overflowPunct/>
        <w:adjustRightInd/>
        <w:snapToGrid/>
        <w:spacing w:line="560" w:lineRule="exact"/>
        <w:ind w:firstLine="640"/>
        <w:rPr>
          <w:kern w:val="0"/>
          <w:szCs w:val="32"/>
          <w:lang w:val="zh-CN"/>
        </w:rPr>
      </w:pPr>
      <w:r>
        <w:rPr>
          <w:kern w:val="0"/>
          <w:szCs w:val="32"/>
        </w:rPr>
        <w:t>（6）</w:t>
      </w:r>
      <w:r>
        <w:rPr>
          <w:kern w:val="0"/>
          <w:szCs w:val="32"/>
          <w:lang w:val="zh-CN"/>
        </w:rPr>
        <w:t>投标人认为需要提供的其他资格证明文件和商务资料。</w:t>
      </w:r>
    </w:p>
    <w:p>
      <w:pPr>
        <w:shd w:val="clear" w:color="auto" w:fill="FFFFFF"/>
        <w:overflowPunct/>
        <w:adjustRightInd/>
        <w:snapToGrid/>
        <w:spacing w:line="560" w:lineRule="exact"/>
        <w:ind w:firstLine="643"/>
        <w:rPr>
          <w:b/>
          <w:bCs/>
          <w:kern w:val="0"/>
          <w:szCs w:val="32"/>
        </w:rPr>
      </w:pPr>
      <w:r>
        <w:rPr>
          <w:rFonts w:hint="eastAsia"/>
          <w:b/>
          <w:bCs/>
          <w:kern w:val="0"/>
          <w:szCs w:val="32"/>
        </w:rPr>
        <w:t>9.</w:t>
      </w:r>
      <w:r>
        <w:rPr>
          <w:b/>
          <w:bCs/>
          <w:kern w:val="0"/>
          <w:szCs w:val="32"/>
        </w:rPr>
        <w:t>投标文件的技术部分</w:t>
      </w:r>
    </w:p>
    <w:p>
      <w:pPr>
        <w:shd w:val="clear" w:color="auto" w:fill="FFFFFF"/>
        <w:overflowPunct/>
        <w:adjustRightInd/>
        <w:snapToGrid/>
        <w:spacing w:line="560" w:lineRule="exact"/>
        <w:ind w:firstLine="640"/>
        <w:rPr>
          <w:kern w:val="0"/>
          <w:szCs w:val="32"/>
          <w:lang w:val="zh-CN"/>
        </w:rPr>
      </w:pPr>
      <w:r>
        <w:rPr>
          <w:kern w:val="0"/>
          <w:szCs w:val="32"/>
          <w:lang w:val="zh-CN"/>
        </w:rPr>
        <w:t>9.1技术部分是证明</w:t>
      </w:r>
      <w:r>
        <w:rPr>
          <w:kern w:val="0"/>
          <w:szCs w:val="32"/>
        </w:rPr>
        <w:t>投标人提供的货物和配套服务是合格的、并符合招标文件要求的证明文件，以及</w:t>
      </w:r>
      <w:r>
        <w:rPr>
          <w:kern w:val="0"/>
          <w:szCs w:val="32"/>
          <w:lang w:val="zh-CN"/>
        </w:rPr>
        <w:t>对</w:t>
      </w:r>
      <w:r>
        <w:rPr>
          <w:kern w:val="0"/>
          <w:szCs w:val="32"/>
        </w:rPr>
        <w:t>货物</w:t>
      </w:r>
      <w:r>
        <w:rPr>
          <w:kern w:val="0"/>
          <w:szCs w:val="32"/>
          <w:lang w:val="zh-CN"/>
        </w:rPr>
        <w:t>的详细说明，这些文件可以是文字资料、图纸和数据等，若技术性能无特殊说明，则按国家有关部门最新颁布的标准及规范为准，提供的技术如与招标文件要求有不符之处，应说明其差别之所在，</w:t>
      </w:r>
      <w:bookmarkStart w:id="77" w:name="_Hlk68005868"/>
      <w:r>
        <w:rPr>
          <w:kern w:val="0"/>
          <w:szCs w:val="32"/>
          <w:lang w:val="zh-CN"/>
        </w:rPr>
        <w:t>并在《技术条款偏离表》中逐条予以说明，</w:t>
      </w:r>
      <w:bookmarkEnd w:id="77"/>
      <w:r>
        <w:rPr>
          <w:kern w:val="0"/>
          <w:szCs w:val="32"/>
          <w:lang w:val="zh-CN"/>
        </w:rPr>
        <w:t>投标文件应按照招标文件要求提供技术资料、文件和有关证明，包括但不限于下列文件：</w:t>
      </w:r>
    </w:p>
    <w:p>
      <w:pPr>
        <w:shd w:val="clear" w:color="auto" w:fill="FFFFFF"/>
        <w:overflowPunct/>
        <w:adjustRightInd/>
        <w:snapToGrid/>
        <w:spacing w:line="560" w:lineRule="exact"/>
        <w:ind w:firstLine="640"/>
        <w:rPr>
          <w:kern w:val="0"/>
          <w:szCs w:val="32"/>
          <w:lang w:val="zh-CN"/>
        </w:rPr>
      </w:pPr>
      <w:r>
        <w:rPr>
          <w:kern w:val="0"/>
          <w:szCs w:val="32"/>
          <w:lang w:val="zh-CN"/>
        </w:rPr>
        <w:t>（1）技术说明或技术性能；</w:t>
      </w:r>
    </w:p>
    <w:p>
      <w:pPr>
        <w:shd w:val="clear" w:color="auto" w:fill="FFFFFF"/>
        <w:overflowPunct/>
        <w:adjustRightInd/>
        <w:snapToGrid/>
        <w:spacing w:line="560" w:lineRule="exact"/>
        <w:ind w:firstLine="640"/>
        <w:rPr>
          <w:kern w:val="0"/>
          <w:szCs w:val="32"/>
          <w:lang w:val="zh-CN"/>
        </w:rPr>
      </w:pPr>
      <w:r>
        <w:rPr>
          <w:kern w:val="0"/>
          <w:szCs w:val="32"/>
          <w:lang w:val="zh-CN"/>
        </w:rPr>
        <w:t>（2）售后服务承诺；</w:t>
      </w:r>
    </w:p>
    <w:p>
      <w:pPr>
        <w:shd w:val="clear" w:color="auto" w:fill="FFFFFF"/>
        <w:overflowPunct/>
        <w:adjustRightInd/>
        <w:snapToGrid/>
        <w:spacing w:line="560" w:lineRule="exact"/>
        <w:ind w:firstLine="640"/>
        <w:rPr>
          <w:kern w:val="0"/>
          <w:szCs w:val="32"/>
          <w:lang w:val="zh-CN"/>
        </w:rPr>
      </w:pPr>
      <w:r>
        <w:rPr>
          <w:kern w:val="0"/>
          <w:szCs w:val="32"/>
          <w:lang w:val="zh-CN"/>
        </w:rPr>
        <w:t>（3）投标人拟投入本项目的人员情况一览表；</w:t>
      </w:r>
    </w:p>
    <w:p>
      <w:pPr>
        <w:shd w:val="clear" w:color="auto" w:fill="FFFFFF"/>
        <w:overflowPunct/>
        <w:adjustRightInd/>
        <w:snapToGrid/>
        <w:spacing w:line="560" w:lineRule="exact"/>
        <w:ind w:firstLine="640"/>
        <w:rPr>
          <w:kern w:val="0"/>
          <w:szCs w:val="32"/>
          <w:lang w:val="zh-CN"/>
        </w:rPr>
      </w:pPr>
      <w:r>
        <w:rPr>
          <w:kern w:val="0"/>
          <w:szCs w:val="32"/>
          <w:lang w:val="zh-CN"/>
        </w:rPr>
        <w:t>（4）《技术条款偏离表》；</w:t>
      </w:r>
    </w:p>
    <w:p>
      <w:pPr>
        <w:shd w:val="clear" w:color="auto" w:fill="FFFFFF"/>
        <w:overflowPunct/>
        <w:adjustRightInd/>
        <w:snapToGrid/>
        <w:spacing w:line="560" w:lineRule="exact"/>
        <w:ind w:firstLine="640"/>
        <w:rPr>
          <w:kern w:val="0"/>
          <w:szCs w:val="32"/>
          <w:lang w:val="zh-CN"/>
        </w:rPr>
      </w:pPr>
      <w:r>
        <w:rPr>
          <w:kern w:val="0"/>
          <w:szCs w:val="32"/>
          <w:lang w:val="zh-CN"/>
        </w:rPr>
        <w:t>（5）投标人认为需要提供的其他技术资料。</w:t>
      </w:r>
    </w:p>
    <w:p>
      <w:pPr>
        <w:shd w:val="clear" w:color="auto" w:fill="FFFFFF"/>
        <w:overflowPunct/>
        <w:adjustRightInd/>
        <w:snapToGrid/>
        <w:spacing w:line="560" w:lineRule="exact"/>
        <w:ind w:firstLine="643"/>
        <w:rPr>
          <w:b/>
          <w:bCs/>
          <w:kern w:val="0"/>
          <w:szCs w:val="32"/>
        </w:rPr>
      </w:pPr>
      <w:r>
        <w:rPr>
          <w:rFonts w:hint="eastAsia"/>
          <w:b/>
          <w:bCs/>
          <w:kern w:val="0"/>
          <w:szCs w:val="32"/>
        </w:rPr>
        <w:t>10.</w:t>
      </w:r>
      <w:r>
        <w:rPr>
          <w:b/>
          <w:bCs/>
          <w:kern w:val="0"/>
          <w:szCs w:val="32"/>
        </w:rPr>
        <w:t>投标文件的价格部分</w:t>
      </w:r>
    </w:p>
    <w:p>
      <w:pPr>
        <w:shd w:val="clear" w:color="auto" w:fill="FFFFFF"/>
        <w:overflowPunct/>
        <w:adjustRightInd/>
        <w:snapToGrid/>
        <w:spacing w:line="560" w:lineRule="exact"/>
        <w:ind w:firstLine="640"/>
        <w:rPr>
          <w:kern w:val="0"/>
          <w:szCs w:val="32"/>
        </w:rPr>
      </w:pPr>
      <w:r>
        <w:rPr>
          <w:kern w:val="0"/>
          <w:szCs w:val="32"/>
        </w:rPr>
        <w:t>10.1价格部分是对采购标的价格构成的说明，招标文件如无特别说明，每一项货物仅接受一个价格。</w:t>
      </w:r>
    </w:p>
    <w:p>
      <w:pPr>
        <w:shd w:val="clear" w:color="auto" w:fill="FFFFFF"/>
        <w:overflowPunct/>
        <w:adjustRightInd/>
        <w:snapToGrid/>
        <w:spacing w:line="560" w:lineRule="exact"/>
        <w:ind w:firstLine="640"/>
        <w:rPr>
          <w:kern w:val="0"/>
          <w:szCs w:val="32"/>
        </w:rPr>
      </w:pPr>
      <w:r>
        <w:rPr>
          <w:kern w:val="0"/>
          <w:szCs w:val="32"/>
        </w:rPr>
        <w:t>10.2报价应包含货物制造、包装、仓储，运输装</w:t>
      </w:r>
      <w:r>
        <w:rPr>
          <w:rFonts w:hint="eastAsia"/>
          <w:kern w:val="0"/>
          <w:szCs w:val="32"/>
        </w:rPr>
        <w:t>卸等</w:t>
      </w:r>
      <w:r>
        <w:rPr>
          <w:kern w:val="0"/>
          <w:szCs w:val="32"/>
        </w:rPr>
        <w:t>所有含税费用、支付给员工的工资和国家强制缴纳的各种社会保障资金，以及投标人认为需要的其他费用等。</w:t>
      </w:r>
    </w:p>
    <w:p>
      <w:pPr>
        <w:shd w:val="clear" w:color="auto" w:fill="FFFFFF"/>
        <w:overflowPunct/>
        <w:adjustRightInd/>
        <w:snapToGrid/>
        <w:spacing w:line="560" w:lineRule="exact"/>
        <w:ind w:firstLine="640"/>
        <w:rPr>
          <w:kern w:val="0"/>
          <w:szCs w:val="32"/>
        </w:rPr>
      </w:pPr>
      <w:r>
        <w:rPr>
          <w:kern w:val="0"/>
          <w:szCs w:val="32"/>
        </w:rPr>
        <w:t>10.3投标人的任何错漏、优惠、竞争性报价不得作为减轻责任、减少服务、增加收费、降低质量的理由。</w:t>
      </w:r>
    </w:p>
    <w:p>
      <w:pPr>
        <w:shd w:val="clear" w:color="auto" w:fill="FFFFFF"/>
        <w:overflowPunct/>
        <w:adjustRightInd/>
        <w:snapToGrid/>
        <w:spacing w:line="560" w:lineRule="exact"/>
        <w:ind w:firstLine="640"/>
        <w:rPr>
          <w:kern w:val="0"/>
          <w:szCs w:val="32"/>
        </w:rPr>
      </w:pPr>
      <w:r>
        <w:rPr>
          <w:kern w:val="0"/>
          <w:szCs w:val="32"/>
        </w:rPr>
        <w:t>10.4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overflowPunct/>
        <w:adjustRightInd/>
        <w:snapToGrid/>
        <w:spacing w:line="560" w:lineRule="exact"/>
        <w:ind w:firstLine="640"/>
        <w:rPr>
          <w:kern w:val="0"/>
          <w:szCs w:val="32"/>
        </w:rPr>
      </w:pPr>
      <w:r>
        <w:rPr>
          <w:kern w:val="0"/>
          <w:szCs w:val="32"/>
        </w:rPr>
        <w:t>10.5 投标人应在《开标一览表</w:t>
      </w:r>
      <w:r>
        <w:rPr>
          <w:rFonts w:hint="eastAsia"/>
          <w:kern w:val="0"/>
          <w:szCs w:val="32"/>
        </w:rPr>
        <w:t>》《</w:t>
      </w:r>
      <w:r>
        <w:rPr>
          <w:kern w:val="0"/>
          <w:szCs w:val="32"/>
        </w:rPr>
        <w:t>分项报价》等标明投标货物的单价、总价以及分项报价。</w:t>
      </w:r>
      <w:bookmarkStart w:id="78" w:name="_Hlk68008917"/>
    </w:p>
    <w:bookmarkEnd w:id="78"/>
    <w:p>
      <w:pPr>
        <w:shd w:val="clear" w:color="auto" w:fill="FFFFFF"/>
        <w:overflowPunct/>
        <w:adjustRightInd/>
        <w:snapToGrid/>
        <w:spacing w:line="560" w:lineRule="exact"/>
        <w:ind w:firstLine="640"/>
        <w:rPr>
          <w:kern w:val="0"/>
          <w:szCs w:val="32"/>
        </w:rPr>
      </w:pPr>
      <w:r>
        <w:rPr>
          <w:kern w:val="0"/>
          <w:szCs w:val="32"/>
        </w:rPr>
        <w:t>10.6 《</w:t>
      </w:r>
      <w:bookmarkStart w:id="79" w:name="_Hlk68008122"/>
      <w:r>
        <w:rPr>
          <w:kern w:val="0"/>
          <w:szCs w:val="32"/>
        </w:rPr>
        <w:t>开标一览表</w:t>
      </w:r>
      <w:bookmarkEnd w:id="79"/>
      <w:r>
        <w:rPr>
          <w:kern w:val="0"/>
          <w:szCs w:val="32"/>
        </w:rPr>
        <w:t>》一式两份，一份装订在投标文件中，一份单独封装，并标明“开标一览表”字样，随投标文件一并递交，以便唱标时使用。如两份开标一览表中的投标报价不一致，视为提交备选投标报价，作无效投标处理。</w:t>
      </w:r>
    </w:p>
    <w:p>
      <w:pPr>
        <w:shd w:val="clear" w:color="auto" w:fill="FFFFFF"/>
        <w:overflowPunct/>
        <w:adjustRightInd/>
        <w:snapToGrid/>
        <w:spacing w:line="560" w:lineRule="exact"/>
        <w:ind w:firstLine="640"/>
        <w:rPr>
          <w:kern w:val="0"/>
          <w:szCs w:val="32"/>
        </w:rPr>
      </w:pPr>
      <w:bookmarkStart w:id="80" w:name="_Hlk68008927"/>
      <w:r>
        <w:rPr>
          <w:kern w:val="0"/>
          <w:szCs w:val="32"/>
        </w:rPr>
        <w:t>10.7本项目预算或最高限价：详见招标文件第一章。</w:t>
      </w:r>
    </w:p>
    <w:bookmarkEnd w:id="80"/>
    <w:p>
      <w:pPr>
        <w:shd w:val="clear" w:color="auto" w:fill="FFFFFF"/>
        <w:overflowPunct/>
        <w:adjustRightInd/>
        <w:snapToGrid/>
        <w:spacing w:line="560" w:lineRule="exact"/>
        <w:ind w:firstLine="643"/>
        <w:rPr>
          <w:b/>
          <w:bCs/>
          <w:kern w:val="0"/>
          <w:szCs w:val="32"/>
        </w:rPr>
      </w:pPr>
      <w:r>
        <w:rPr>
          <w:rFonts w:hint="eastAsia"/>
          <w:b/>
          <w:bCs/>
          <w:kern w:val="0"/>
          <w:szCs w:val="32"/>
        </w:rPr>
        <w:t>11.</w:t>
      </w:r>
      <w:r>
        <w:rPr>
          <w:b/>
          <w:bCs/>
          <w:kern w:val="0"/>
          <w:szCs w:val="32"/>
        </w:rPr>
        <w:t>投标文件的其他部分</w:t>
      </w:r>
    </w:p>
    <w:p>
      <w:pPr>
        <w:shd w:val="clear" w:color="auto" w:fill="FFFFFF"/>
        <w:overflowPunct/>
        <w:adjustRightInd/>
        <w:snapToGrid/>
        <w:spacing w:line="560" w:lineRule="exact"/>
        <w:ind w:firstLine="640"/>
        <w:rPr>
          <w:kern w:val="0"/>
          <w:szCs w:val="32"/>
        </w:rPr>
      </w:pPr>
      <w:r>
        <w:rPr>
          <w:kern w:val="0"/>
          <w:szCs w:val="32"/>
        </w:rPr>
        <w:t>11.1 其他部分由投标人根据编制投标文件需要提供的其他相关文件组成。</w:t>
      </w:r>
    </w:p>
    <w:p>
      <w:pPr>
        <w:shd w:val="clear" w:color="auto" w:fill="FFFFFF"/>
        <w:overflowPunct/>
        <w:adjustRightInd/>
        <w:snapToGrid/>
        <w:spacing w:line="560" w:lineRule="exact"/>
        <w:ind w:firstLine="643"/>
        <w:rPr>
          <w:b/>
          <w:bCs/>
          <w:kern w:val="0"/>
          <w:szCs w:val="32"/>
        </w:rPr>
      </w:pPr>
      <w:r>
        <w:rPr>
          <w:rFonts w:hint="eastAsia"/>
          <w:b/>
          <w:bCs/>
          <w:kern w:val="0"/>
          <w:szCs w:val="32"/>
        </w:rPr>
        <w:t>12.</w:t>
      </w:r>
      <w:r>
        <w:rPr>
          <w:b/>
          <w:bCs/>
          <w:kern w:val="0"/>
          <w:szCs w:val="32"/>
        </w:rPr>
        <w:t>投标保证金：本项目不收取投标保证金。</w:t>
      </w:r>
    </w:p>
    <w:p>
      <w:pPr>
        <w:shd w:val="clear" w:color="auto" w:fill="FFFFFF"/>
        <w:overflowPunct/>
        <w:adjustRightInd/>
        <w:snapToGrid/>
        <w:spacing w:line="560" w:lineRule="exact"/>
        <w:ind w:firstLine="643"/>
        <w:rPr>
          <w:b/>
          <w:bCs/>
          <w:kern w:val="0"/>
          <w:szCs w:val="32"/>
        </w:rPr>
      </w:pPr>
      <w:r>
        <w:rPr>
          <w:rFonts w:hint="eastAsia"/>
          <w:b/>
          <w:bCs/>
          <w:kern w:val="0"/>
          <w:szCs w:val="32"/>
        </w:rPr>
        <w:t>13.</w:t>
      </w:r>
      <w:r>
        <w:rPr>
          <w:b/>
          <w:bCs/>
          <w:kern w:val="0"/>
          <w:szCs w:val="32"/>
        </w:rPr>
        <w:t>投标有效期</w:t>
      </w:r>
    </w:p>
    <w:p>
      <w:pPr>
        <w:shd w:val="clear" w:color="auto" w:fill="FFFFFF"/>
        <w:overflowPunct/>
        <w:adjustRightInd/>
        <w:snapToGrid/>
        <w:spacing w:line="560" w:lineRule="exact"/>
        <w:ind w:firstLine="640"/>
        <w:rPr>
          <w:kern w:val="0"/>
          <w:szCs w:val="32"/>
        </w:rPr>
      </w:pPr>
      <w:r>
        <w:rPr>
          <w:kern w:val="0"/>
          <w:szCs w:val="32"/>
        </w:rPr>
        <w:t>13.1 自开标之日起90天内投标有效，投标有效期从提交投标文件的截止之日起算，投标文件中承诺的投标有效期应当不少于招标文件中载明的投标有效期。</w:t>
      </w:r>
    </w:p>
    <w:p>
      <w:pPr>
        <w:shd w:val="clear" w:color="auto" w:fill="FFFFFF"/>
        <w:overflowPunct/>
        <w:adjustRightInd/>
        <w:snapToGrid/>
        <w:spacing w:line="560" w:lineRule="exact"/>
        <w:ind w:firstLine="640"/>
        <w:rPr>
          <w:kern w:val="0"/>
          <w:szCs w:val="32"/>
        </w:rPr>
      </w:pPr>
      <w:r>
        <w:rPr>
          <w:kern w:val="0"/>
          <w:szCs w:val="32"/>
        </w:rPr>
        <w:t>13.2 特殊情况下，在原投标有效期截止之前，采购代理机构可要求投标人同意延长投标有效期，这种要求与答复均应以书面形式提交。投标人可拒绝这种要求，并且不影响投标保证金的退还（如有）。接受延长投标有效期的投标人将不会要求和允许修正其投标，而只会被要求相应地延长其投标保证金（如有）的有效期。在这种情况下，有关投标保证金（如有）的退还规定在延长了的有效期内继续有效。</w:t>
      </w:r>
    </w:p>
    <w:p>
      <w:pPr>
        <w:shd w:val="clear" w:color="auto" w:fill="FFFFFF"/>
        <w:overflowPunct/>
        <w:adjustRightInd/>
        <w:snapToGrid/>
        <w:spacing w:line="560" w:lineRule="exact"/>
        <w:ind w:firstLine="643"/>
        <w:rPr>
          <w:b/>
          <w:bCs/>
          <w:kern w:val="0"/>
          <w:szCs w:val="32"/>
        </w:rPr>
      </w:pPr>
      <w:r>
        <w:rPr>
          <w:rFonts w:hint="eastAsia"/>
          <w:b/>
          <w:bCs/>
          <w:kern w:val="0"/>
          <w:szCs w:val="32"/>
        </w:rPr>
        <w:t>14.</w:t>
      </w:r>
      <w:r>
        <w:rPr>
          <w:b/>
          <w:bCs/>
          <w:kern w:val="0"/>
          <w:szCs w:val="32"/>
        </w:rPr>
        <w:t>投标文件签署</w:t>
      </w:r>
    </w:p>
    <w:p>
      <w:pPr>
        <w:shd w:val="clear" w:color="auto" w:fill="FFFFFF"/>
        <w:overflowPunct/>
        <w:adjustRightInd/>
        <w:snapToGrid/>
        <w:spacing w:line="560" w:lineRule="exact"/>
        <w:ind w:firstLine="640"/>
        <w:rPr>
          <w:kern w:val="0"/>
          <w:szCs w:val="32"/>
        </w:rPr>
      </w:pPr>
      <w:r>
        <w:rPr>
          <w:kern w:val="0"/>
          <w:szCs w:val="32"/>
        </w:rPr>
        <w:t>14.1 投标文件的正本和副本均应由投标人法人代表或经正式授权并对投标人有约束力的委托代理人签字，如果它们之间内容有差异，则以正本为准。</w:t>
      </w:r>
    </w:p>
    <w:p>
      <w:pPr>
        <w:shd w:val="clear" w:color="auto" w:fill="FFFFFF"/>
        <w:overflowPunct/>
        <w:adjustRightInd/>
        <w:snapToGrid/>
        <w:spacing w:line="560" w:lineRule="exact"/>
        <w:ind w:firstLine="643"/>
        <w:rPr>
          <w:b/>
          <w:bCs/>
          <w:kern w:val="0"/>
          <w:szCs w:val="32"/>
        </w:rPr>
      </w:pPr>
      <w:r>
        <w:rPr>
          <w:rFonts w:hint="eastAsia"/>
          <w:b/>
          <w:bCs/>
          <w:kern w:val="0"/>
          <w:szCs w:val="32"/>
        </w:rPr>
        <w:t>15.</w:t>
      </w:r>
      <w:r>
        <w:rPr>
          <w:b/>
          <w:bCs/>
          <w:kern w:val="0"/>
          <w:szCs w:val="32"/>
        </w:rPr>
        <w:t>投标费用</w:t>
      </w:r>
    </w:p>
    <w:p>
      <w:pPr>
        <w:shd w:val="clear" w:color="auto" w:fill="FFFFFF"/>
        <w:overflowPunct/>
        <w:adjustRightInd/>
        <w:snapToGrid/>
        <w:spacing w:line="560" w:lineRule="exact"/>
        <w:ind w:firstLine="640"/>
        <w:rPr>
          <w:kern w:val="0"/>
          <w:szCs w:val="32"/>
        </w:rPr>
      </w:pPr>
      <w:r>
        <w:rPr>
          <w:kern w:val="0"/>
          <w:szCs w:val="32"/>
        </w:rPr>
        <w:t>15.1 投标人应承担所有与准备和参加投标有关的费用，无论采购结果如何，采购代理机构和采购人在任何情况下均无义务和责任承担这些费用。</w:t>
      </w:r>
    </w:p>
    <w:p>
      <w:pPr>
        <w:shd w:val="clear" w:color="auto" w:fill="FFFFFF"/>
        <w:overflowPunct/>
        <w:adjustRightInd/>
        <w:snapToGrid/>
        <w:spacing w:line="560" w:lineRule="exact"/>
        <w:ind w:firstLine="640"/>
        <w:rPr>
          <w:kern w:val="0"/>
          <w:szCs w:val="32"/>
        </w:rPr>
      </w:pPr>
      <w:r>
        <w:rPr>
          <w:kern w:val="0"/>
          <w:szCs w:val="32"/>
        </w:rPr>
        <w:t>15.2</w:t>
      </w:r>
      <w:bookmarkStart w:id="81" w:name="_Hlk75346033"/>
      <w:r>
        <w:rPr>
          <w:kern w:val="0"/>
          <w:szCs w:val="32"/>
        </w:rPr>
        <w:t xml:space="preserve"> </w:t>
      </w:r>
      <w:bookmarkStart w:id="82" w:name="_Hlk75346060"/>
      <w:r>
        <w:rPr>
          <w:kern w:val="0"/>
          <w:szCs w:val="32"/>
        </w:rPr>
        <w:t>采购代理服务费</w:t>
      </w:r>
      <w:bookmarkEnd w:id="81"/>
      <w:bookmarkEnd w:id="82"/>
      <w:r>
        <w:rPr>
          <w:kern w:val="0"/>
          <w:szCs w:val="32"/>
        </w:rPr>
        <w:t>：</w:t>
      </w:r>
      <w:bookmarkStart w:id="83" w:name="_Hlk77845966"/>
      <w:r>
        <w:rPr>
          <w:kern w:val="0"/>
          <w:szCs w:val="32"/>
        </w:rPr>
        <w:t>XXX</w:t>
      </w:r>
    </w:p>
    <w:bookmarkEnd w:id="83"/>
    <w:p>
      <w:pPr>
        <w:shd w:val="clear" w:color="auto" w:fill="FFFFFF"/>
        <w:overflowPunct/>
        <w:adjustRightInd/>
        <w:snapToGrid/>
        <w:spacing w:line="560" w:lineRule="exact"/>
        <w:ind w:firstLine="640"/>
        <w:rPr>
          <w:rFonts w:eastAsia="黑体"/>
          <w:kern w:val="0"/>
          <w:szCs w:val="32"/>
        </w:rPr>
      </w:pPr>
      <w:r>
        <w:rPr>
          <w:rFonts w:eastAsia="黑体"/>
          <w:kern w:val="0"/>
          <w:szCs w:val="32"/>
        </w:rPr>
        <w:t>四、投标文件的递交</w:t>
      </w:r>
    </w:p>
    <w:p>
      <w:pPr>
        <w:shd w:val="clear" w:color="auto" w:fill="FFFFFF"/>
        <w:overflowPunct/>
        <w:adjustRightInd/>
        <w:snapToGrid/>
        <w:spacing w:line="560" w:lineRule="exact"/>
        <w:ind w:firstLine="640"/>
        <w:rPr>
          <w:kern w:val="0"/>
          <w:szCs w:val="32"/>
        </w:rPr>
      </w:pPr>
      <w:r>
        <w:rPr>
          <w:rFonts w:hint="eastAsia"/>
          <w:kern w:val="0"/>
          <w:szCs w:val="32"/>
        </w:rPr>
        <w:t>16.</w:t>
      </w:r>
      <w:r>
        <w:rPr>
          <w:kern w:val="0"/>
          <w:szCs w:val="32"/>
        </w:rPr>
        <w:t>投标文件的密封和递交</w:t>
      </w:r>
    </w:p>
    <w:p>
      <w:pPr>
        <w:shd w:val="clear" w:color="auto" w:fill="FFFFFF"/>
        <w:overflowPunct/>
        <w:adjustRightInd/>
        <w:snapToGrid/>
        <w:spacing w:line="560" w:lineRule="exact"/>
        <w:ind w:firstLine="640"/>
        <w:rPr>
          <w:kern w:val="0"/>
          <w:szCs w:val="32"/>
        </w:rPr>
      </w:pPr>
      <w:r>
        <w:rPr>
          <w:kern w:val="0"/>
          <w:szCs w:val="32"/>
        </w:rPr>
        <w:t>16.1投标人的投标文件一式伍份（正本壹份、副本肆份），同时应提供电子版投标文件（盖章版本）壹份（一般应为PDF格式、U盘形式（单独封装）、随纸质文件一并密封提交）。当电子版文件和纸质正本文件不一致时，以纸质正本文件为准。每套投标文件须清楚标明“正本</w:t>
      </w:r>
      <w:r>
        <w:rPr>
          <w:rFonts w:hint="eastAsia"/>
          <w:kern w:val="0"/>
          <w:szCs w:val="32"/>
        </w:rPr>
        <w:t>”“</w:t>
      </w:r>
      <w:r>
        <w:rPr>
          <w:kern w:val="0"/>
          <w:szCs w:val="32"/>
        </w:rPr>
        <w:t>副本”。如果它们之间内容有差异，以正本为准。</w:t>
      </w:r>
    </w:p>
    <w:p>
      <w:pPr>
        <w:shd w:val="clear" w:color="auto" w:fill="FFFFFF"/>
        <w:overflowPunct/>
        <w:adjustRightInd/>
        <w:snapToGrid/>
        <w:spacing w:line="560" w:lineRule="exact"/>
        <w:ind w:firstLine="640"/>
        <w:rPr>
          <w:kern w:val="0"/>
          <w:szCs w:val="32"/>
        </w:rPr>
      </w:pPr>
      <w:r>
        <w:rPr>
          <w:kern w:val="0"/>
          <w:szCs w:val="32"/>
        </w:rPr>
        <w:t>16.2 投标文件正本和所有副本均需打印或用不褪色墨水书写，并由投标人的法定代表人或委托代理人签字并在招标文件中注明须加盖公章的地方加盖公章，如为委托代理人签字的应附“法定代表人授权委托书”，正本必须为原件，但投标人的相关证明文件可采用复印件，采用复印件的，采购代理机构、评标委员会认为需要时，投标人应提供原件供核对。</w:t>
      </w:r>
    </w:p>
    <w:p>
      <w:pPr>
        <w:shd w:val="clear" w:color="auto" w:fill="FFFFFF"/>
        <w:overflowPunct/>
        <w:adjustRightInd/>
        <w:snapToGrid/>
        <w:spacing w:line="560" w:lineRule="exact"/>
        <w:ind w:firstLine="640"/>
        <w:rPr>
          <w:kern w:val="0"/>
          <w:szCs w:val="32"/>
        </w:rPr>
      </w:pPr>
      <w:r>
        <w:rPr>
          <w:kern w:val="0"/>
          <w:szCs w:val="32"/>
        </w:rPr>
        <w:t>16.3 投标文件不应有涂改、增删之处，如必须修改时，修改处必须有投标人法定代表人或委托代理人签字。</w:t>
      </w:r>
    </w:p>
    <w:p>
      <w:pPr>
        <w:shd w:val="clear" w:color="auto" w:fill="FFFFFF"/>
        <w:overflowPunct/>
        <w:adjustRightInd/>
        <w:snapToGrid/>
        <w:spacing w:line="560" w:lineRule="exact"/>
        <w:ind w:firstLine="640"/>
        <w:rPr>
          <w:kern w:val="0"/>
          <w:szCs w:val="32"/>
        </w:rPr>
      </w:pPr>
      <w:r>
        <w:rPr>
          <w:kern w:val="0"/>
          <w:szCs w:val="32"/>
        </w:rPr>
        <w:t>16.4投标文件提倡按照A4幅面打印或复印并进行装订，如有资料超过A4幅面折叠成A4幅面；投标文件装订提倡采用胶装的形式，密封递交。</w:t>
      </w:r>
    </w:p>
    <w:p>
      <w:pPr>
        <w:shd w:val="clear" w:color="auto" w:fill="FFFFFF"/>
        <w:overflowPunct/>
        <w:adjustRightInd/>
        <w:snapToGrid/>
        <w:spacing w:line="560" w:lineRule="exact"/>
        <w:ind w:firstLine="640"/>
        <w:rPr>
          <w:kern w:val="0"/>
          <w:szCs w:val="32"/>
        </w:rPr>
      </w:pPr>
      <w:r>
        <w:rPr>
          <w:kern w:val="0"/>
          <w:szCs w:val="32"/>
        </w:rPr>
        <w:t>16.5 投标人应当在招标文件要求提交投标文件的截止时间前，将投标文件密封送达投标地点。任何单位和个人不得在开标前开启投标文件。</w:t>
      </w:r>
    </w:p>
    <w:p>
      <w:pPr>
        <w:shd w:val="clear" w:color="auto" w:fill="FFFFFF"/>
        <w:overflowPunct/>
        <w:adjustRightInd/>
        <w:snapToGrid/>
        <w:spacing w:line="560" w:lineRule="exact"/>
        <w:ind w:firstLine="643"/>
        <w:rPr>
          <w:b/>
          <w:bCs/>
          <w:kern w:val="0"/>
          <w:szCs w:val="32"/>
        </w:rPr>
      </w:pPr>
      <w:r>
        <w:rPr>
          <w:rFonts w:hint="eastAsia"/>
          <w:b/>
          <w:bCs/>
          <w:kern w:val="0"/>
          <w:szCs w:val="32"/>
        </w:rPr>
        <w:t>17.</w:t>
      </w:r>
      <w:r>
        <w:rPr>
          <w:b/>
          <w:bCs/>
          <w:kern w:val="0"/>
          <w:szCs w:val="32"/>
        </w:rPr>
        <w:t>有下列情形的投标文件将被拒收</w:t>
      </w:r>
    </w:p>
    <w:p>
      <w:pPr>
        <w:shd w:val="clear" w:color="auto" w:fill="FFFFFF"/>
        <w:overflowPunct/>
        <w:adjustRightInd/>
        <w:snapToGrid/>
        <w:spacing w:line="560" w:lineRule="exact"/>
        <w:ind w:firstLine="640"/>
        <w:rPr>
          <w:kern w:val="0"/>
          <w:szCs w:val="32"/>
        </w:rPr>
      </w:pPr>
      <w:r>
        <w:rPr>
          <w:kern w:val="0"/>
          <w:szCs w:val="32"/>
        </w:rPr>
        <w:t>17.1逾期送达的；</w:t>
      </w:r>
    </w:p>
    <w:p>
      <w:pPr>
        <w:shd w:val="clear" w:color="auto" w:fill="FFFFFF"/>
        <w:overflowPunct/>
        <w:adjustRightInd/>
        <w:snapToGrid/>
        <w:spacing w:line="560" w:lineRule="exact"/>
        <w:ind w:firstLine="640"/>
        <w:rPr>
          <w:kern w:val="0"/>
          <w:szCs w:val="32"/>
        </w:rPr>
      </w:pPr>
      <w:r>
        <w:rPr>
          <w:kern w:val="0"/>
          <w:szCs w:val="32"/>
        </w:rPr>
        <w:t>17.2未按照招标文件要求密封的。</w:t>
      </w:r>
    </w:p>
    <w:p>
      <w:pPr>
        <w:shd w:val="clear" w:color="auto" w:fill="FFFFFF"/>
        <w:overflowPunct/>
        <w:adjustRightInd/>
        <w:snapToGrid/>
        <w:spacing w:line="560" w:lineRule="exact"/>
        <w:ind w:firstLine="643"/>
        <w:rPr>
          <w:b/>
          <w:bCs/>
          <w:kern w:val="0"/>
          <w:szCs w:val="32"/>
        </w:rPr>
      </w:pPr>
      <w:r>
        <w:rPr>
          <w:rFonts w:hint="eastAsia"/>
          <w:b/>
          <w:bCs/>
          <w:kern w:val="0"/>
          <w:szCs w:val="32"/>
        </w:rPr>
        <w:t>18.</w:t>
      </w:r>
      <w:r>
        <w:rPr>
          <w:b/>
          <w:bCs/>
          <w:kern w:val="0"/>
          <w:szCs w:val="32"/>
        </w:rPr>
        <w:t>投标文件的修改和撤回</w:t>
      </w:r>
    </w:p>
    <w:p>
      <w:pPr>
        <w:shd w:val="clear" w:color="auto" w:fill="FFFFFF"/>
        <w:overflowPunct/>
        <w:adjustRightInd/>
        <w:snapToGrid/>
        <w:spacing w:line="560" w:lineRule="exact"/>
        <w:ind w:firstLine="640"/>
        <w:rPr>
          <w:kern w:val="0"/>
          <w:szCs w:val="32"/>
        </w:rPr>
      </w:pPr>
      <w:r>
        <w:rPr>
          <w:kern w:val="0"/>
          <w:szCs w:val="32"/>
        </w:rPr>
        <w:t>18.1投标人在投标截止时</w:t>
      </w:r>
      <w:r>
        <w:rPr>
          <w:rFonts w:hint="eastAsia"/>
          <w:kern w:val="0"/>
          <w:szCs w:val="32"/>
          <w:lang w:eastAsia="zh-CN"/>
        </w:rPr>
        <w:t>间之</w:t>
      </w:r>
      <w:r>
        <w:rPr>
          <w:kern w:val="0"/>
          <w:szCs w:val="32"/>
        </w:rPr>
        <w:t>前，可以对所递交的投标文件进行补充、修改或者撤回，并书面通知采购人或者采购代理机构。补充、修改的内容应当按照招标文件要求签署、盖章、密封后，作为投标文件的组成部分。</w:t>
      </w:r>
    </w:p>
    <w:p>
      <w:pPr>
        <w:shd w:val="clear" w:color="auto" w:fill="FFFFFF"/>
        <w:overflowPunct/>
        <w:adjustRightInd/>
        <w:snapToGrid/>
        <w:spacing w:line="560" w:lineRule="exact"/>
        <w:ind w:firstLine="640"/>
        <w:rPr>
          <w:kern w:val="0"/>
          <w:szCs w:val="32"/>
        </w:rPr>
      </w:pPr>
      <w:r>
        <w:rPr>
          <w:kern w:val="0"/>
          <w:szCs w:val="32"/>
        </w:rPr>
        <w:t>18.2 投标截止时间之后，投标文件不得撤回。</w:t>
      </w:r>
    </w:p>
    <w:p>
      <w:pPr>
        <w:shd w:val="clear" w:color="auto" w:fill="FFFFFF"/>
        <w:overflowPunct/>
        <w:adjustRightInd/>
        <w:snapToGrid/>
        <w:spacing w:line="560" w:lineRule="exact"/>
        <w:ind w:firstLine="643"/>
        <w:rPr>
          <w:b/>
          <w:bCs/>
          <w:kern w:val="0"/>
          <w:szCs w:val="32"/>
        </w:rPr>
      </w:pPr>
      <w:r>
        <w:rPr>
          <w:rFonts w:hint="eastAsia"/>
          <w:b/>
          <w:bCs/>
          <w:kern w:val="0"/>
          <w:szCs w:val="32"/>
        </w:rPr>
        <w:t>19.</w:t>
      </w:r>
      <w:r>
        <w:rPr>
          <w:b/>
          <w:bCs/>
          <w:kern w:val="0"/>
          <w:szCs w:val="32"/>
        </w:rPr>
        <w:t>诚实信用</w:t>
      </w:r>
    </w:p>
    <w:p>
      <w:pPr>
        <w:shd w:val="clear" w:color="auto" w:fill="FFFFFF"/>
        <w:overflowPunct/>
        <w:adjustRightInd/>
        <w:snapToGrid/>
        <w:spacing w:line="560" w:lineRule="exact"/>
        <w:ind w:firstLine="640"/>
        <w:rPr>
          <w:kern w:val="0"/>
          <w:szCs w:val="32"/>
        </w:rPr>
      </w:pPr>
      <w:r>
        <w:rPr>
          <w:kern w:val="0"/>
          <w:szCs w:val="32"/>
        </w:rPr>
        <w:t>19.1投标人应当遵循公平竞争的原则，不得恶意串通，不得妨碍其他投标人的竞争行为，不得损害采购人或者其他投标人的合法权益。</w:t>
      </w:r>
    </w:p>
    <w:p>
      <w:pPr>
        <w:shd w:val="clear" w:color="auto" w:fill="FFFFFF"/>
        <w:overflowPunct/>
        <w:adjustRightInd/>
        <w:snapToGrid/>
        <w:spacing w:line="560" w:lineRule="exact"/>
        <w:ind w:firstLine="640"/>
        <w:rPr>
          <w:kern w:val="0"/>
          <w:szCs w:val="32"/>
        </w:rPr>
      </w:pPr>
      <w:r>
        <w:rPr>
          <w:kern w:val="0"/>
          <w:szCs w:val="32"/>
        </w:rPr>
        <w:t>19.2在评标过程中发现投标人有上述情形的，评标委员会应当认定其投标无效，并书面报告本级财政部门。</w:t>
      </w:r>
    </w:p>
    <w:p>
      <w:pPr>
        <w:shd w:val="clear" w:color="auto" w:fill="FFFFFF"/>
        <w:overflowPunct/>
        <w:adjustRightInd/>
        <w:snapToGrid/>
        <w:spacing w:line="560" w:lineRule="exact"/>
        <w:ind w:firstLine="640"/>
        <w:rPr>
          <w:rFonts w:eastAsia="黑体"/>
          <w:kern w:val="0"/>
          <w:szCs w:val="32"/>
        </w:rPr>
      </w:pPr>
      <w:r>
        <w:rPr>
          <w:rFonts w:eastAsia="黑体"/>
          <w:kern w:val="0"/>
          <w:szCs w:val="32"/>
        </w:rPr>
        <w:t>五、开标、评标与定标</w:t>
      </w:r>
    </w:p>
    <w:p>
      <w:pPr>
        <w:shd w:val="clear" w:color="auto" w:fill="FFFFFF"/>
        <w:overflowPunct/>
        <w:adjustRightInd/>
        <w:snapToGrid/>
        <w:spacing w:line="560" w:lineRule="exact"/>
        <w:ind w:firstLine="643"/>
        <w:rPr>
          <w:b/>
          <w:bCs/>
          <w:kern w:val="0"/>
          <w:szCs w:val="32"/>
        </w:rPr>
      </w:pPr>
      <w:r>
        <w:rPr>
          <w:rFonts w:hint="eastAsia"/>
          <w:b/>
          <w:bCs/>
          <w:kern w:val="0"/>
          <w:szCs w:val="32"/>
        </w:rPr>
        <w:t>20.</w:t>
      </w:r>
      <w:r>
        <w:rPr>
          <w:b/>
          <w:bCs/>
          <w:kern w:val="0"/>
          <w:szCs w:val="32"/>
        </w:rPr>
        <w:t>开标</w:t>
      </w:r>
    </w:p>
    <w:p>
      <w:pPr>
        <w:shd w:val="clear" w:color="auto" w:fill="FFFFFF"/>
        <w:overflowPunct/>
        <w:adjustRightInd/>
        <w:snapToGrid/>
        <w:spacing w:line="560" w:lineRule="exact"/>
        <w:ind w:firstLine="640"/>
        <w:rPr>
          <w:kern w:val="0"/>
          <w:szCs w:val="32"/>
        </w:rPr>
      </w:pPr>
      <w:r>
        <w:rPr>
          <w:kern w:val="0"/>
          <w:szCs w:val="32"/>
        </w:rPr>
        <w:t>20.1 采购代理机构将在招标文件确定的时间和地点进行公开开标。投标人应委派代表准时参加，参加开标的代表须签名报到以证明其出席。</w:t>
      </w:r>
      <w:bookmarkStart w:id="84" w:name="_Hlk44576482"/>
    </w:p>
    <w:bookmarkEnd w:id="84"/>
    <w:p>
      <w:pPr>
        <w:shd w:val="clear" w:color="auto" w:fill="FFFFFF"/>
        <w:overflowPunct/>
        <w:adjustRightInd/>
        <w:snapToGrid/>
        <w:spacing w:line="560" w:lineRule="exact"/>
        <w:ind w:firstLine="640"/>
        <w:rPr>
          <w:kern w:val="0"/>
          <w:szCs w:val="32"/>
        </w:rPr>
      </w:pPr>
      <w:r>
        <w:rPr>
          <w:kern w:val="0"/>
          <w:szCs w:val="32"/>
        </w:rPr>
        <w:t>20.2开标时，应当由投标人或者其推选的代表检查投标文件的密封情况；经确认无误后，由采购人或者采购代理机构工作人员当众拆封，宣布投标人名称、投标价格和招标文件规定的需要宣布的其他内容。</w:t>
      </w:r>
    </w:p>
    <w:p>
      <w:pPr>
        <w:shd w:val="clear" w:color="auto" w:fill="FFFFFF"/>
        <w:overflowPunct/>
        <w:adjustRightInd/>
        <w:snapToGrid/>
        <w:spacing w:line="560" w:lineRule="exact"/>
        <w:ind w:firstLine="640"/>
        <w:rPr>
          <w:kern w:val="0"/>
          <w:szCs w:val="32"/>
        </w:rPr>
      </w:pPr>
      <w:r>
        <w:rPr>
          <w:kern w:val="0"/>
          <w:szCs w:val="32"/>
        </w:rPr>
        <w:t>20.3各标段投标人不足3家的，不得开标。</w:t>
      </w:r>
    </w:p>
    <w:p>
      <w:pPr>
        <w:shd w:val="clear" w:color="auto" w:fill="FFFFFF"/>
        <w:overflowPunct/>
        <w:adjustRightInd/>
        <w:snapToGrid/>
        <w:spacing w:line="560" w:lineRule="exact"/>
        <w:ind w:firstLine="640"/>
        <w:rPr>
          <w:kern w:val="0"/>
          <w:szCs w:val="32"/>
        </w:rPr>
      </w:pPr>
      <w:r>
        <w:rPr>
          <w:kern w:val="0"/>
          <w:szCs w:val="32"/>
        </w:rPr>
        <w:t>20.4开标过程由采购代理机构负责记录，由参加开标的各投标人代表和相关工作人员签字确认后随招标文件一并存档。</w:t>
      </w:r>
    </w:p>
    <w:p>
      <w:pPr>
        <w:shd w:val="clear" w:color="auto" w:fill="FFFFFF"/>
        <w:overflowPunct/>
        <w:adjustRightInd/>
        <w:snapToGrid/>
        <w:spacing w:line="560" w:lineRule="exact"/>
        <w:ind w:firstLine="640"/>
        <w:rPr>
          <w:kern w:val="0"/>
          <w:szCs w:val="32"/>
        </w:rPr>
      </w:pPr>
      <w:r>
        <w:rPr>
          <w:kern w:val="0"/>
          <w:szCs w:val="32"/>
        </w:rPr>
        <w:t>20.5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pPr>
        <w:shd w:val="clear" w:color="auto" w:fill="FFFFFF"/>
        <w:overflowPunct/>
        <w:adjustRightInd/>
        <w:snapToGrid/>
        <w:spacing w:line="560" w:lineRule="exact"/>
        <w:ind w:firstLine="640"/>
        <w:rPr>
          <w:kern w:val="0"/>
          <w:szCs w:val="32"/>
        </w:rPr>
      </w:pPr>
      <w:r>
        <w:rPr>
          <w:kern w:val="0"/>
          <w:szCs w:val="32"/>
        </w:rPr>
        <w:t>20.6投标人未参加开标的，视同认可开标结果。</w:t>
      </w:r>
    </w:p>
    <w:p>
      <w:pPr>
        <w:shd w:val="clear" w:color="auto" w:fill="FFFFFF"/>
        <w:overflowPunct/>
        <w:adjustRightInd/>
        <w:snapToGrid/>
        <w:spacing w:line="560" w:lineRule="exact"/>
        <w:ind w:firstLine="640"/>
        <w:rPr>
          <w:kern w:val="0"/>
          <w:szCs w:val="32"/>
        </w:rPr>
      </w:pPr>
      <w:r>
        <w:rPr>
          <w:kern w:val="0"/>
          <w:szCs w:val="32"/>
        </w:rPr>
        <w:t>20.7</w:t>
      </w:r>
      <w:r>
        <w:rPr>
          <w:rFonts w:hint="eastAsia"/>
          <w:kern w:val="0"/>
          <w:szCs w:val="32"/>
        </w:rPr>
        <w:t>若某标段投标截止后投标人不足3家的，待</w:t>
      </w:r>
      <w:r>
        <w:rPr>
          <w:rFonts w:hint="eastAsia"/>
          <w:kern w:val="0"/>
          <w:szCs w:val="32"/>
          <w:lang w:eastAsia="zh-CN"/>
        </w:rPr>
        <w:t>其他</w:t>
      </w:r>
      <w:r>
        <w:rPr>
          <w:rFonts w:hint="eastAsia"/>
          <w:kern w:val="0"/>
          <w:szCs w:val="32"/>
        </w:rPr>
        <w:t>相同食材分组的标段评标完成后，面向通过资格审查的投标人重新组织招标。</w:t>
      </w:r>
    </w:p>
    <w:p>
      <w:pPr>
        <w:shd w:val="clear" w:color="auto" w:fill="FFFFFF"/>
        <w:overflowPunct/>
        <w:adjustRightInd/>
        <w:snapToGrid/>
        <w:spacing w:line="560" w:lineRule="exact"/>
        <w:ind w:firstLine="643"/>
        <w:rPr>
          <w:b/>
          <w:bCs/>
          <w:kern w:val="0"/>
          <w:szCs w:val="32"/>
        </w:rPr>
      </w:pPr>
      <w:r>
        <w:rPr>
          <w:rFonts w:hint="eastAsia"/>
          <w:b/>
          <w:bCs/>
          <w:kern w:val="0"/>
          <w:szCs w:val="32"/>
        </w:rPr>
        <w:t>21.</w:t>
      </w:r>
      <w:r>
        <w:rPr>
          <w:b/>
          <w:bCs/>
          <w:kern w:val="0"/>
          <w:szCs w:val="32"/>
        </w:rPr>
        <w:t xml:space="preserve">评标 </w:t>
      </w:r>
    </w:p>
    <w:p>
      <w:pPr>
        <w:shd w:val="clear" w:color="auto" w:fill="FFFFFF"/>
        <w:overflowPunct/>
        <w:adjustRightInd/>
        <w:snapToGrid/>
        <w:spacing w:line="560" w:lineRule="exact"/>
        <w:ind w:firstLine="643"/>
        <w:rPr>
          <w:b/>
          <w:bCs/>
          <w:kern w:val="0"/>
          <w:szCs w:val="32"/>
        </w:rPr>
      </w:pPr>
      <w:r>
        <w:rPr>
          <w:b/>
          <w:bCs/>
          <w:kern w:val="0"/>
          <w:szCs w:val="32"/>
        </w:rPr>
        <w:t xml:space="preserve">21.1 评标委员会 </w:t>
      </w:r>
    </w:p>
    <w:p>
      <w:pPr>
        <w:shd w:val="clear" w:color="auto" w:fill="FFFFFF"/>
        <w:overflowPunct/>
        <w:adjustRightInd/>
        <w:snapToGrid/>
        <w:spacing w:line="560" w:lineRule="exact"/>
        <w:ind w:firstLine="640"/>
        <w:rPr>
          <w:kern w:val="0"/>
          <w:szCs w:val="32"/>
        </w:rPr>
      </w:pPr>
      <w:r>
        <w:rPr>
          <w:kern w:val="0"/>
          <w:szCs w:val="32"/>
        </w:rPr>
        <w:t>21.1.1评标委员会负责具体评标事务，并独立履行下列职责：</w:t>
      </w:r>
    </w:p>
    <w:p>
      <w:pPr>
        <w:shd w:val="clear" w:color="auto" w:fill="FFFFFF"/>
        <w:overflowPunct/>
        <w:adjustRightInd/>
        <w:snapToGrid/>
        <w:spacing w:line="560" w:lineRule="exact"/>
        <w:ind w:firstLine="640"/>
        <w:rPr>
          <w:kern w:val="0"/>
          <w:szCs w:val="32"/>
        </w:rPr>
      </w:pPr>
      <w:r>
        <w:rPr>
          <w:kern w:val="0"/>
          <w:szCs w:val="32"/>
        </w:rPr>
        <w:t>（1）审查、评价投标文件是否符合招标文件的商务、技术等实质性要求；</w:t>
      </w:r>
    </w:p>
    <w:p>
      <w:pPr>
        <w:shd w:val="clear" w:color="auto" w:fill="FFFFFF"/>
        <w:overflowPunct/>
        <w:adjustRightInd/>
        <w:snapToGrid/>
        <w:spacing w:line="560" w:lineRule="exact"/>
        <w:ind w:firstLine="640"/>
        <w:rPr>
          <w:kern w:val="0"/>
          <w:szCs w:val="32"/>
        </w:rPr>
      </w:pPr>
      <w:r>
        <w:rPr>
          <w:kern w:val="0"/>
          <w:szCs w:val="32"/>
        </w:rPr>
        <w:t>（2）要求投标人对投标文件有关事项作出澄清或者说明；</w:t>
      </w:r>
    </w:p>
    <w:p>
      <w:pPr>
        <w:shd w:val="clear" w:color="auto" w:fill="FFFFFF"/>
        <w:overflowPunct/>
        <w:adjustRightInd/>
        <w:snapToGrid/>
        <w:spacing w:line="560" w:lineRule="exact"/>
        <w:ind w:firstLine="640"/>
        <w:rPr>
          <w:kern w:val="0"/>
          <w:szCs w:val="32"/>
        </w:rPr>
      </w:pPr>
      <w:r>
        <w:rPr>
          <w:kern w:val="0"/>
          <w:szCs w:val="32"/>
        </w:rPr>
        <w:t>（3）对投标文件进行比较和评价；</w:t>
      </w:r>
    </w:p>
    <w:p>
      <w:pPr>
        <w:shd w:val="clear" w:color="auto" w:fill="FFFFFF"/>
        <w:overflowPunct/>
        <w:adjustRightInd/>
        <w:snapToGrid/>
        <w:spacing w:line="560" w:lineRule="exact"/>
        <w:ind w:firstLine="640"/>
        <w:rPr>
          <w:kern w:val="0"/>
          <w:szCs w:val="32"/>
        </w:rPr>
      </w:pPr>
      <w:r>
        <w:rPr>
          <w:kern w:val="0"/>
          <w:szCs w:val="32"/>
        </w:rPr>
        <w:t>（4）确定中标候选人名单，以及根据采购人委托直接确定中标人；</w:t>
      </w:r>
    </w:p>
    <w:p>
      <w:pPr>
        <w:shd w:val="clear" w:color="auto" w:fill="FFFFFF"/>
        <w:overflowPunct/>
        <w:adjustRightInd/>
        <w:snapToGrid/>
        <w:spacing w:line="560" w:lineRule="exact"/>
        <w:ind w:firstLine="640"/>
        <w:rPr>
          <w:kern w:val="0"/>
          <w:szCs w:val="32"/>
        </w:rPr>
      </w:pPr>
      <w:r>
        <w:rPr>
          <w:kern w:val="0"/>
          <w:szCs w:val="32"/>
        </w:rPr>
        <w:t>（5）向采购人、采购代理机构或者有关部门报告评标中发现的违法行为。</w:t>
      </w:r>
    </w:p>
    <w:p>
      <w:pPr>
        <w:shd w:val="clear" w:color="auto" w:fill="FFFFFF"/>
        <w:overflowPunct/>
        <w:adjustRightInd/>
        <w:snapToGrid/>
        <w:spacing w:line="560" w:lineRule="exact"/>
        <w:ind w:firstLine="640"/>
        <w:rPr>
          <w:kern w:val="0"/>
          <w:szCs w:val="32"/>
        </w:rPr>
      </w:pPr>
      <w:r>
        <w:rPr>
          <w:kern w:val="0"/>
          <w:szCs w:val="32"/>
        </w:rPr>
        <w:t>21.1.2 评标委员会由采购人代表和有关技术、经济等方面的专家组成，独立开展评审工作。</w:t>
      </w:r>
    </w:p>
    <w:p>
      <w:pPr>
        <w:shd w:val="clear" w:color="auto" w:fill="FFFFFF"/>
        <w:overflowPunct/>
        <w:adjustRightInd/>
        <w:snapToGrid/>
        <w:spacing w:line="560" w:lineRule="exact"/>
        <w:ind w:firstLine="643"/>
        <w:rPr>
          <w:b/>
          <w:bCs/>
          <w:kern w:val="0"/>
          <w:szCs w:val="32"/>
        </w:rPr>
      </w:pPr>
      <w:r>
        <w:rPr>
          <w:b/>
          <w:bCs/>
          <w:kern w:val="0"/>
          <w:szCs w:val="32"/>
        </w:rPr>
        <w:t>21.2  评标程序</w:t>
      </w:r>
    </w:p>
    <w:p>
      <w:pPr>
        <w:shd w:val="clear" w:color="auto" w:fill="FFFFFF"/>
        <w:overflowPunct/>
        <w:adjustRightInd/>
        <w:snapToGrid/>
        <w:spacing w:line="560" w:lineRule="exact"/>
        <w:ind w:firstLine="640"/>
        <w:rPr>
          <w:kern w:val="0"/>
          <w:szCs w:val="32"/>
        </w:rPr>
      </w:pPr>
      <w:r>
        <w:rPr>
          <w:kern w:val="0"/>
          <w:szCs w:val="32"/>
        </w:rPr>
        <w:t>21.2.1投标文件有下列情况之一的，在资格性审查时按照无效投标处理：</w:t>
      </w:r>
    </w:p>
    <w:p>
      <w:pPr>
        <w:shd w:val="clear" w:color="auto" w:fill="FFFFFF"/>
        <w:overflowPunct/>
        <w:adjustRightInd/>
        <w:snapToGrid/>
        <w:spacing w:line="560" w:lineRule="exact"/>
        <w:ind w:firstLine="640"/>
        <w:rPr>
          <w:kern w:val="0"/>
          <w:szCs w:val="32"/>
        </w:rPr>
      </w:pPr>
      <w:r>
        <w:rPr>
          <w:kern w:val="0"/>
          <w:szCs w:val="32"/>
        </w:rPr>
        <w:t>不具备招标文件中规定资格条件的；</w:t>
      </w:r>
    </w:p>
    <w:p>
      <w:pPr>
        <w:shd w:val="clear" w:color="auto" w:fill="FFFFFF"/>
        <w:overflowPunct/>
        <w:adjustRightInd/>
        <w:snapToGrid/>
        <w:spacing w:line="560" w:lineRule="exact"/>
        <w:ind w:firstLine="640"/>
        <w:rPr>
          <w:kern w:val="0"/>
          <w:szCs w:val="32"/>
        </w:rPr>
      </w:pPr>
      <w:r>
        <w:rPr>
          <w:kern w:val="0"/>
          <w:szCs w:val="32"/>
        </w:rPr>
        <w:t>21.2.2投标文件的符合性检查</w:t>
      </w:r>
    </w:p>
    <w:p>
      <w:pPr>
        <w:shd w:val="clear" w:color="auto" w:fill="FFFFFF"/>
        <w:overflowPunct/>
        <w:adjustRightInd/>
        <w:snapToGrid/>
        <w:spacing w:line="560" w:lineRule="exact"/>
        <w:ind w:firstLine="640"/>
        <w:rPr>
          <w:kern w:val="0"/>
          <w:szCs w:val="32"/>
        </w:rPr>
      </w:pPr>
      <w:r>
        <w:rPr>
          <w:kern w:val="0"/>
          <w:szCs w:val="32"/>
        </w:rPr>
        <w:t>（1）评标委员会将依据法律法规和招标文件的规定，对投标文件的有效性完整性和对招标文件的响应程度进行审查，以确定是否对招标文件的实质性要求作出响应。</w:t>
      </w:r>
    </w:p>
    <w:p>
      <w:pPr>
        <w:shd w:val="clear" w:color="auto" w:fill="FFFFFF"/>
        <w:overflowPunct/>
        <w:adjustRightInd/>
        <w:snapToGrid/>
        <w:spacing w:line="560" w:lineRule="exact"/>
        <w:ind w:firstLine="640"/>
        <w:rPr>
          <w:kern w:val="0"/>
          <w:szCs w:val="32"/>
        </w:rPr>
      </w:pPr>
      <w:r>
        <w:rPr>
          <w:kern w:val="0"/>
          <w:szCs w:val="32"/>
        </w:rPr>
        <w:t>（2）实质性要求是指本招标文件中用带星号（*）、“必须”或“应（应当）”等其他文字说明的商务和技术要求。</w:t>
      </w:r>
    </w:p>
    <w:p>
      <w:pPr>
        <w:shd w:val="clear" w:color="auto" w:fill="FFFFFF"/>
        <w:overflowPunct/>
        <w:adjustRightInd/>
        <w:snapToGrid/>
        <w:spacing w:line="560" w:lineRule="exact"/>
        <w:ind w:firstLine="640"/>
        <w:rPr>
          <w:kern w:val="0"/>
          <w:szCs w:val="32"/>
        </w:rPr>
      </w:pPr>
      <w:r>
        <w:rPr>
          <w:kern w:val="0"/>
          <w:szCs w:val="32"/>
        </w:rPr>
        <w:t>21.2.2.1投标文件属于下列情形之一的，按照无效投标处理：</w:t>
      </w:r>
    </w:p>
    <w:p>
      <w:pPr>
        <w:shd w:val="clear" w:color="auto" w:fill="FFFFFF"/>
        <w:overflowPunct/>
        <w:adjustRightInd/>
        <w:snapToGrid/>
        <w:spacing w:line="560" w:lineRule="exact"/>
        <w:ind w:firstLine="640"/>
        <w:rPr>
          <w:kern w:val="0"/>
          <w:szCs w:val="32"/>
        </w:rPr>
      </w:pPr>
      <w:r>
        <w:rPr>
          <w:kern w:val="0"/>
          <w:szCs w:val="32"/>
        </w:rPr>
        <w:t>如果投标文件实质上没有响应招标文件的要求，评标委员会将予以拒绝，投标人不得通过修改或撤销</w:t>
      </w:r>
      <w:r>
        <w:rPr>
          <w:rFonts w:hint="eastAsia"/>
          <w:kern w:val="0"/>
          <w:szCs w:val="32"/>
          <w:lang w:eastAsia="zh-CN"/>
        </w:rPr>
        <w:t>不符</w:t>
      </w:r>
      <w:r>
        <w:rPr>
          <w:kern w:val="0"/>
          <w:szCs w:val="32"/>
        </w:rPr>
        <w:t>合要求的偏离或保留而使其投标成为实质性响应的投标。</w:t>
      </w:r>
    </w:p>
    <w:p>
      <w:pPr>
        <w:shd w:val="clear" w:color="auto" w:fill="FFFFFF"/>
        <w:overflowPunct/>
        <w:adjustRightInd/>
        <w:snapToGrid/>
        <w:spacing w:line="560" w:lineRule="exact"/>
        <w:ind w:firstLine="640"/>
        <w:rPr>
          <w:kern w:val="0"/>
          <w:szCs w:val="32"/>
        </w:rPr>
      </w:pPr>
      <w:r>
        <w:rPr>
          <w:kern w:val="0"/>
          <w:szCs w:val="32"/>
        </w:rPr>
        <w:t>没有按照采购要求密封、签署、盖章的；</w:t>
      </w:r>
    </w:p>
    <w:p>
      <w:pPr>
        <w:shd w:val="clear" w:color="auto" w:fill="FFFFFF"/>
        <w:overflowPunct/>
        <w:adjustRightInd/>
        <w:snapToGrid/>
        <w:spacing w:line="560" w:lineRule="exact"/>
        <w:ind w:firstLine="640"/>
        <w:rPr>
          <w:kern w:val="0"/>
          <w:szCs w:val="32"/>
        </w:rPr>
      </w:pPr>
      <w:r>
        <w:rPr>
          <w:kern w:val="0"/>
          <w:szCs w:val="32"/>
        </w:rPr>
        <w:t>投标总价超出采购项目预算或者单价最高限价的；</w:t>
      </w:r>
    </w:p>
    <w:p>
      <w:pPr>
        <w:shd w:val="clear" w:color="auto" w:fill="FFFFFF"/>
        <w:overflowPunct/>
        <w:adjustRightInd/>
        <w:snapToGrid/>
        <w:spacing w:line="560" w:lineRule="exact"/>
        <w:ind w:firstLine="640"/>
        <w:rPr>
          <w:kern w:val="0"/>
          <w:szCs w:val="32"/>
        </w:rPr>
      </w:pPr>
      <w:r>
        <w:rPr>
          <w:kern w:val="0"/>
          <w:szCs w:val="32"/>
        </w:rPr>
        <w:t>不同投标人的投标文件由同一单位或者个人编制的；</w:t>
      </w:r>
    </w:p>
    <w:p>
      <w:pPr>
        <w:shd w:val="clear" w:color="auto" w:fill="FFFFFF"/>
        <w:overflowPunct/>
        <w:adjustRightInd/>
        <w:snapToGrid/>
        <w:spacing w:line="560" w:lineRule="exact"/>
        <w:ind w:firstLine="640"/>
        <w:rPr>
          <w:kern w:val="0"/>
          <w:szCs w:val="32"/>
        </w:rPr>
      </w:pPr>
      <w:r>
        <w:rPr>
          <w:kern w:val="0"/>
          <w:szCs w:val="32"/>
        </w:rPr>
        <w:t>（4）不同投标人委托同一单位或者个人办理投标事宜；</w:t>
      </w:r>
    </w:p>
    <w:p>
      <w:pPr>
        <w:shd w:val="clear" w:color="auto" w:fill="FFFFFF"/>
        <w:overflowPunct/>
        <w:adjustRightInd/>
        <w:snapToGrid/>
        <w:spacing w:line="560" w:lineRule="exact"/>
        <w:ind w:firstLine="640"/>
        <w:rPr>
          <w:kern w:val="0"/>
          <w:szCs w:val="32"/>
        </w:rPr>
      </w:pPr>
      <w:r>
        <w:rPr>
          <w:kern w:val="0"/>
          <w:szCs w:val="32"/>
        </w:rPr>
        <w:t>（5）不同投标人的投标文件载明的项目管理成员为同一人；</w:t>
      </w:r>
    </w:p>
    <w:p>
      <w:pPr>
        <w:shd w:val="clear" w:color="auto" w:fill="FFFFFF"/>
        <w:overflowPunct/>
        <w:adjustRightInd/>
        <w:snapToGrid/>
        <w:spacing w:line="560" w:lineRule="exact"/>
        <w:ind w:firstLine="640"/>
        <w:rPr>
          <w:kern w:val="0"/>
          <w:szCs w:val="32"/>
        </w:rPr>
      </w:pPr>
      <w:r>
        <w:rPr>
          <w:kern w:val="0"/>
          <w:szCs w:val="32"/>
        </w:rPr>
        <w:t>（6）不同投标人的投标文件异常一致或者投标报价呈规律性差异；</w:t>
      </w:r>
    </w:p>
    <w:p>
      <w:pPr>
        <w:shd w:val="clear" w:color="auto" w:fill="FFFFFF"/>
        <w:overflowPunct/>
        <w:adjustRightInd/>
        <w:snapToGrid/>
        <w:spacing w:line="560" w:lineRule="exact"/>
        <w:ind w:firstLine="640"/>
        <w:rPr>
          <w:kern w:val="0"/>
          <w:szCs w:val="32"/>
        </w:rPr>
      </w:pPr>
      <w:r>
        <w:rPr>
          <w:kern w:val="0"/>
          <w:szCs w:val="32"/>
        </w:rPr>
        <w:t>（7）不同投标人的投标文件相互混装；</w:t>
      </w:r>
    </w:p>
    <w:p>
      <w:pPr>
        <w:shd w:val="clear" w:color="auto" w:fill="FFFFFF"/>
        <w:overflowPunct/>
        <w:adjustRightInd/>
        <w:snapToGrid/>
        <w:spacing w:line="560" w:lineRule="exact"/>
        <w:ind w:firstLine="640"/>
        <w:rPr>
          <w:kern w:val="0"/>
          <w:szCs w:val="32"/>
        </w:rPr>
      </w:pPr>
      <w:r>
        <w:rPr>
          <w:kern w:val="0"/>
          <w:szCs w:val="32"/>
        </w:rPr>
        <w:t>（8）不同投标人的法定代表人或委托代理人有夫妻、直系血亲关系的；</w:t>
      </w:r>
    </w:p>
    <w:p>
      <w:pPr>
        <w:shd w:val="clear" w:color="auto" w:fill="FFFFFF"/>
        <w:overflowPunct/>
        <w:adjustRightInd/>
        <w:snapToGrid/>
        <w:spacing w:line="560" w:lineRule="exact"/>
        <w:ind w:firstLine="640"/>
        <w:rPr>
          <w:kern w:val="0"/>
          <w:szCs w:val="32"/>
        </w:rPr>
      </w:pPr>
      <w:r>
        <w:rPr>
          <w:kern w:val="0"/>
          <w:szCs w:val="32"/>
        </w:rPr>
        <w:t>（9）不同投标人的负责人为同一人或者存在控股、管理关系的；</w:t>
      </w:r>
    </w:p>
    <w:p>
      <w:pPr>
        <w:shd w:val="clear" w:color="auto" w:fill="FFFFFF"/>
        <w:overflowPunct/>
        <w:adjustRightInd/>
        <w:snapToGrid/>
        <w:spacing w:line="560" w:lineRule="exact"/>
        <w:ind w:firstLine="640"/>
        <w:rPr>
          <w:kern w:val="0"/>
          <w:szCs w:val="32"/>
        </w:rPr>
      </w:pPr>
      <w:r>
        <w:rPr>
          <w:kern w:val="0"/>
          <w:szCs w:val="32"/>
        </w:rPr>
        <w:t>（1</w:t>
      </w:r>
      <w:r>
        <w:rPr>
          <w:rFonts w:hint="eastAsia"/>
          <w:kern w:val="0"/>
          <w:szCs w:val="32"/>
        </w:rPr>
        <w:t>0</w:t>
      </w:r>
      <w:r>
        <w:rPr>
          <w:kern w:val="0"/>
          <w:szCs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overflowPunct/>
        <w:adjustRightInd/>
        <w:snapToGrid/>
        <w:spacing w:line="560" w:lineRule="exact"/>
        <w:ind w:firstLine="640"/>
        <w:rPr>
          <w:kern w:val="0"/>
          <w:szCs w:val="32"/>
        </w:rPr>
      </w:pPr>
      <w:r>
        <w:rPr>
          <w:kern w:val="0"/>
          <w:szCs w:val="32"/>
        </w:rPr>
        <w:t>（1</w:t>
      </w:r>
      <w:r>
        <w:rPr>
          <w:rFonts w:hint="eastAsia"/>
          <w:kern w:val="0"/>
          <w:szCs w:val="32"/>
        </w:rPr>
        <w:t>1</w:t>
      </w:r>
      <w:r>
        <w:rPr>
          <w:kern w:val="0"/>
          <w:szCs w:val="32"/>
        </w:rPr>
        <w:t>）投标文件含有采购人不能接受的附加条件的；</w:t>
      </w:r>
    </w:p>
    <w:p>
      <w:pPr>
        <w:shd w:val="clear" w:color="auto" w:fill="FFFFFF"/>
        <w:overflowPunct/>
        <w:adjustRightInd/>
        <w:snapToGrid/>
        <w:spacing w:line="560" w:lineRule="exact"/>
        <w:ind w:firstLine="640"/>
        <w:rPr>
          <w:kern w:val="0"/>
          <w:szCs w:val="32"/>
        </w:rPr>
      </w:pPr>
      <w:r>
        <w:rPr>
          <w:kern w:val="0"/>
          <w:szCs w:val="32"/>
        </w:rPr>
        <w:t>（1</w:t>
      </w:r>
      <w:r>
        <w:rPr>
          <w:rFonts w:hint="eastAsia"/>
          <w:kern w:val="0"/>
          <w:szCs w:val="32"/>
        </w:rPr>
        <w:t>2</w:t>
      </w:r>
      <w:r>
        <w:rPr>
          <w:kern w:val="0"/>
          <w:szCs w:val="32"/>
        </w:rPr>
        <w:t>）不符合</w:t>
      </w:r>
      <w:r>
        <w:rPr>
          <w:rFonts w:hint="eastAsia"/>
          <w:kern w:val="0"/>
          <w:szCs w:val="32"/>
        </w:rPr>
        <w:t>法律法规</w:t>
      </w:r>
      <w:r>
        <w:rPr>
          <w:kern w:val="0"/>
          <w:szCs w:val="32"/>
        </w:rPr>
        <w:t>和招标文件规定的其他实质性要求的。</w:t>
      </w:r>
    </w:p>
    <w:p>
      <w:pPr>
        <w:shd w:val="clear" w:color="auto" w:fill="FFFFFF"/>
        <w:overflowPunct/>
        <w:adjustRightInd/>
        <w:snapToGrid/>
        <w:spacing w:line="560" w:lineRule="exact"/>
        <w:ind w:firstLine="640"/>
        <w:rPr>
          <w:kern w:val="0"/>
          <w:szCs w:val="32"/>
        </w:rPr>
      </w:pPr>
      <w:r>
        <w:rPr>
          <w:kern w:val="0"/>
          <w:szCs w:val="32"/>
        </w:rPr>
        <w:t>21.2.2.2有下列情形之一的予以废标：</w:t>
      </w:r>
    </w:p>
    <w:p>
      <w:pPr>
        <w:shd w:val="clear" w:color="auto" w:fill="FFFFFF"/>
        <w:overflowPunct/>
        <w:adjustRightInd/>
        <w:snapToGrid/>
        <w:spacing w:line="560" w:lineRule="exact"/>
        <w:ind w:firstLine="640"/>
        <w:rPr>
          <w:kern w:val="0"/>
          <w:szCs w:val="32"/>
        </w:rPr>
      </w:pPr>
      <w:r>
        <w:rPr>
          <w:kern w:val="0"/>
          <w:szCs w:val="32"/>
        </w:rPr>
        <w:t>（1）符合资格条件的投标人或者对</w:t>
      </w:r>
      <w:r>
        <w:rPr>
          <w:rFonts w:hint="eastAsia"/>
          <w:kern w:val="0"/>
          <w:szCs w:val="32"/>
        </w:rPr>
        <w:t>单个标段</w:t>
      </w:r>
      <w:r>
        <w:rPr>
          <w:kern w:val="0"/>
          <w:szCs w:val="32"/>
        </w:rPr>
        <w:t>招标文件作实质性响应的投标人不足三家的；</w:t>
      </w:r>
    </w:p>
    <w:p>
      <w:pPr>
        <w:shd w:val="clear" w:color="auto" w:fill="FFFFFF"/>
        <w:overflowPunct/>
        <w:adjustRightInd/>
        <w:snapToGrid/>
        <w:spacing w:line="560" w:lineRule="exact"/>
        <w:ind w:firstLine="640"/>
        <w:rPr>
          <w:kern w:val="0"/>
          <w:szCs w:val="32"/>
        </w:rPr>
      </w:pPr>
      <w:r>
        <w:rPr>
          <w:kern w:val="0"/>
          <w:szCs w:val="32"/>
        </w:rPr>
        <w:t>（2）出现影响采购公正的违法、违规行为的；</w:t>
      </w:r>
    </w:p>
    <w:p>
      <w:pPr>
        <w:shd w:val="clear" w:color="auto" w:fill="FFFFFF"/>
        <w:overflowPunct/>
        <w:adjustRightInd/>
        <w:snapToGrid/>
        <w:spacing w:line="560" w:lineRule="exact"/>
        <w:ind w:firstLine="640"/>
        <w:rPr>
          <w:kern w:val="0"/>
          <w:szCs w:val="32"/>
        </w:rPr>
      </w:pPr>
      <w:r>
        <w:rPr>
          <w:kern w:val="0"/>
          <w:szCs w:val="32"/>
        </w:rPr>
        <w:t>（3）投标人的报价均超过了采购预算或最高限价，采购人不能支付的；</w:t>
      </w:r>
    </w:p>
    <w:p>
      <w:pPr>
        <w:shd w:val="clear" w:color="auto" w:fill="FFFFFF"/>
        <w:overflowPunct/>
        <w:adjustRightInd/>
        <w:snapToGrid/>
        <w:spacing w:line="560" w:lineRule="exact"/>
        <w:ind w:firstLine="640"/>
        <w:rPr>
          <w:kern w:val="0"/>
          <w:szCs w:val="32"/>
        </w:rPr>
      </w:pPr>
      <w:r>
        <w:rPr>
          <w:kern w:val="0"/>
          <w:szCs w:val="32"/>
        </w:rPr>
        <w:t>（4）因重大变故，采购任务取消的。</w:t>
      </w:r>
    </w:p>
    <w:p>
      <w:pPr>
        <w:shd w:val="clear" w:color="auto" w:fill="FFFFFF"/>
        <w:overflowPunct/>
        <w:adjustRightInd/>
        <w:snapToGrid/>
        <w:spacing w:line="560" w:lineRule="exact"/>
        <w:ind w:firstLine="640"/>
        <w:rPr>
          <w:kern w:val="0"/>
          <w:szCs w:val="32"/>
        </w:rPr>
      </w:pPr>
      <w:r>
        <w:rPr>
          <w:kern w:val="0"/>
          <w:szCs w:val="32"/>
        </w:rPr>
        <w:t>除予以废标外，出现符合资格性审查的投标人或者对招标文件作出实质性响应的投标人不足三家情形的，可比照20.7款执行。</w:t>
      </w:r>
    </w:p>
    <w:p>
      <w:pPr>
        <w:shd w:val="clear" w:color="auto" w:fill="FFFFFF"/>
        <w:overflowPunct/>
        <w:adjustRightInd/>
        <w:snapToGrid/>
        <w:spacing w:line="560" w:lineRule="exact"/>
        <w:ind w:firstLine="640"/>
        <w:rPr>
          <w:kern w:val="0"/>
          <w:szCs w:val="32"/>
        </w:rPr>
      </w:pPr>
      <w:r>
        <w:rPr>
          <w:kern w:val="0"/>
          <w:szCs w:val="32"/>
        </w:rPr>
        <w:t>21.2.3澄清有关问题。</w:t>
      </w:r>
    </w:p>
    <w:p>
      <w:pPr>
        <w:shd w:val="clear" w:color="auto" w:fill="FFFFFF"/>
        <w:overflowPunct/>
        <w:adjustRightInd/>
        <w:snapToGrid/>
        <w:spacing w:line="560" w:lineRule="exact"/>
        <w:ind w:firstLine="640"/>
        <w:rPr>
          <w:kern w:val="0"/>
          <w:szCs w:val="32"/>
        </w:rPr>
      </w:pPr>
      <w:r>
        <w:rPr>
          <w:kern w:val="0"/>
          <w:szCs w:val="32"/>
        </w:rPr>
        <w:t>21.2.3.1对于投标文件中含义不明确、同类问题表述不一致或者有明显文字和计算错误的内容，评标委员会应当以书面形式要求投标人作出必要的澄清、说明或者补正。</w:t>
      </w:r>
    </w:p>
    <w:p>
      <w:pPr>
        <w:shd w:val="clear" w:color="auto" w:fill="FFFFFF"/>
        <w:overflowPunct/>
        <w:adjustRightInd/>
        <w:snapToGrid/>
        <w:spacing w:line="560" w:lineRule="exact"/>
        <w:ind w:firstLine="640"/>
        <w:rPr>
          <w:kern w:val="0"/>
          <w:szCs w:val="32"/>
        </w:rPr>
      </w:pPr>
      <w:r>
        <w:rPr>
          <w:kern w:val="0"/>
          <w:szCs w:val="32"/>
        </w:rPr>
        <w:t>21.2.3.2投标人的澄清、说明或者补正应当采用书面形式，并加盖公章，或者由法定代表人或其委托代理人签字。投标人的澄清、说明或者补正不得超出投标文件的范围或者改变投标文件的实质性内容。</w:t>
      </w:r>
    </w:p>
    <w:p>
      <w:pPr>
        <w:shd w:val="clear" w:color="auto" w:fill="FFFFFF"/>
        <w:overflowPunct/>
        <w:adjustRightInd/>
        <w:snapToGrid/>
        <w:spacing w:line="560" w:lineRule="exact"/>
        <w:ind w:firstLine="640"/>
        <w:rPr>
          <w:kern w:val="0"/>
          <w:szCs w:val="32"/>
        </w:rPr>
      </w:pPr>
      <w:r>
        <w:rPr>
          <w:kern w:val="0"/>
          <w:szCs w:val="32"/>
        </w:rPr>
        <w:t>21.2.3.3投标文件报价出现前后不一致的，除招标文件另有规定外，按照下列规定修正：</w:t>
      </w:r>
    </w:p>
    <w:p>
      <w:pPr>
        <w:shd w:val="clear" w:color="auto" w:fill="FFFFFF"/>
        <w:overflowPunct/>
        <w:adjustRightInd/>
        <w:snapToGrid/>
        <w:spacing w:line="560" w:lineRule="exact"/>
        <w:ind w:firstLine="640"/>
        <w:rPr>
          <w:kern w:val="0"/>
          <w:szCs w:val="32"/>
        </w:rPr>
      </w:pPr>
      <w:r>
        <w:rPr>
          <w:kern w:val="0"/>
          <w:szCs w:val="32"/>
        </w:rPr>
        <w:t>（1）投标文件中开标一览表（报价表）内容与投标文件中相应内容不一致的，以开标一览表（报价表）为准；</w:t>
      </w:r>
    </w:p>
    <w:p>
      <w:pPr>
        <w:shd w:val="clear" w:color="auto" w:fill="FFFFFF"/>
        <w:overflowPunct/>
        <w:adjustRightInd/>
        <w:snapToGrid/>
        <w:spacing w:line="560" w:lineRule="exact"/>
        <w:ind w:firstLine="640"/>
        <w:rPr>
          <w:kern w:val="0"/>
          <w:szCs w:val="32"/>
        </w:rPr>
      </w:pPr>
      <w:r>
        <w:rPr>
          <w:kern w:val="0"/>
          <w:szCs w:val="32"/>
        </w:rPr>
        <w:t>（2）大写金额和小写金额不一致的，以大写金额为准；</w:t>
      </w:r>
    </w:p>
    <w:p>
      <w:pPr>
        <w:shd w:val="clear" w:color="auto" w:fill="FFFFFF"/>
        <w:overflowPunct/>
        <w:adjustRightInd/>
        <w:snapToGrid/>
        <w:spacing w:line="560" w:lineRule="exact"/>
        <w:ind w:firstLine="640"/>
        <w:rPr>
          <w:kern w:val="0"/>
          <w:szCs w:val="32"/>
        </w:rPr>
      </w:pPr>
      <w:r>
        <w:rPr>
          <w:kern w:val="0"/>
          <w:szCs w:val="32"/>
        </w:rPr>
        <w:t>（3）单价金额小数点或者百分比有明显错位的，以开标一览表的总价为准，并修改单价；</w:t>
      </w:r>
    </w:p>
    <w:p>
      <w:pPr>
        <w:shd w:val="clear" w:color="auto" w:fill="FFFFFF"/>
        <w:overflowPunct/>
        <w:adjustRightInd/>
        <w:snapToGrid/>
        <w:spacing w:line="560" w:lineRule="exact"/>
        <w:ind w:firstLine="640"/>
        <w:rPr>
          <w:kern w:val="0"/>
          <w:szCs w:val="32"/>
        </w:rPr>
      </w:pPr>
      <w:r>
        <w:rPr>
          <w:kern w:val="0"/>
          <w:szCs w:val="32"/>
        </w:rPr>
        <w:t>（4）总价金额与按单价汇总金额不一致的，以单价金额计算结果为准。</w:t>
      </w:r>
    </w:p>
    <w:p>
      <w:pPr>
        <w:shd w:val="clear" w:color="auto" w:fill="FFFFFF"/>
        <w:overflowPunct/>
        <w:adjustRightInd/>
        <w:snapToGrid/>
        <w:spacing w:line="560" w:lineRule="exact"/>
        <w:ind w:firstLine="640"/>
        <w:rPr>
          <w:kern w:val="0"/>
          <w:szCs w:val="32"/>
        </w:rPr>
      </w:pPr>
      <w:r>
        <w:rPr>
          <w:kern w:val="0"/>
          <w:szCs w:val="32"/>
        </w:rPr>
        <w:t>同时出现两种以上不一致的，按照前款规定的顺序修正。修正后的报价按照前款规定经投标人确认后产生约束力，投标人不确认的，其投标无效。</w:t>
      </w:r>
    </w:p>
    <w:p>
      <w:pPr>
        <w:shd w:val="clear" w:color="auto" w:fill="FFFFFF"/>
        <w:overflowPunct/>
        <w:adjustRightInd/>
        <w:snapToGrid/>
        <w:spacing w:line="560" w:lineRule="exact"/>
        <w:ind w:firstLine="640"/>
        <w:rPr>
          <w:kern w:val="0"/>
          <w:szCs w:val="32"/>
        </w:rPr>
      </w:pPr>
      <w:r>
        <w:rPr>
          <w:kern w:val="0"/>
          <w:szCs w:val="32"/>
        </w:rPr>
        <w:t>21.2.3.4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shd w:val="clear" w:color="auto" w:fill="FFFFFF"/>
        <w:overflowPunct/>
        <w:adjustRightInd/>
        <w:snapToGrid/>
        <w:spacing w:line="560" w:lineRule="exact"/>
        <w:ind w:firstLine="640"/>
        <w:rPr>
          <w:kern w:val="0"/>
          <w:szCs w:val="32"/>
        </w:rPr>
      </w:pPr>
      <w:r>
        <w:rPr>
          <w:kern w:val="0"/>
          <w:szCs w:val="32"/>
        </w:rPr>
        <w:t>21.2.4比较与评价。评标委员会应当按照招标文件中规定的评标方法和标准，对符合性审查合格的投标文件进行商务和技术评估，综合比较与评价。</w:t>
      </w:r>
    </w:p>
    <w:p>
      <w:pPr>
        <w:shd w:val="clear" w:color="auto" w:fill="FFFFFF"/>
        <w:overflowPunct/>
        <w:adjustRightInd/>
        <w:snapToGrid/>
        <w:spacing w:line="560" w:lineRule="exact"/>
        <w:ind w:firstLine="640"/>
        <w:rPr>
          <w:kern w:val="0"/>
          <w:szCs w:val="32"/>
        </w:rPr>
      </w:pPr>
      <w:r>
        <w:rPr>
          <w:kern w:val="0"/>
          <w:szCs w:val="32"/>
        </w:rPr>
        <w:t>21.2.</w:t>
      </w:r>
      <w:r>
        <w:rPr>
          <w:rFonts w:hint="eastAsia"/>
          <w:kern w:val="0"/>
          <w:szCs w:val="32"/>
        </w:rPr>
        <w:t>5</w:t>
      </w:r>
      <w:r>
        <w:rPr>
          <w:kern w:val="0"/>
          <w:szCs w:val="32"/>
        </w:rPr>
        <w:t>招标文件中要求的产品品牌或型号，是采购人根据项目所要实现的功能推荐的品牌或型号，仅供投标人参考，并不是限制条件。</w:t>
      </w:r>
    </w:p>
    <w:p>
      <w:pPr>
        <w:shd w:val="clear" w:color="auto" w:fill="FFFFFF"/>
        <w:overflowPunct/>
        <w:adjustRightInd/>
        <w:snapToGrid/>
        <w:spacing w:line="560" w:lineRule="exact"/>
        <w:ind w:firstLine="643"/>
        <w:rPr>
          <w:b/>
          <w:bCs/>
          <w:kern w:val="0"/>
          <w:szCs w:val="32"/>
        </w:rPr>
      </w:pPr>
      <w:r>
        <w:rPr>
          <w:b/>
          <w:bCs/>
          <w:kern w:val="0"/>
          <w:szCs w:val="32"/>
        </w:rPr>
        <w:t>21.3 定价机制和评标方法</w:t>
      </w:r>
    </w:p>
    <w:p>
      <w:pPr>
        <w:shd w:val="clear" w:color="auto" w:fill="FFFFFF"/>
        <w:overflowPunct/>
        <w:adjustRightInd/>
        <w:snapToGrid/>
        <w:spacing w:line="560" w:lineRule="exact"/>
        <w:ind w:firstLine="640"/>
        <w:rPr>
          <w:kern w:val="0"/>
          <w:szCs w:val="32"/>
          <w:u w:val="wave"/>
        </w:rPr>
      </w:pPr>
      <w:r>
        <w:rPr>
          <w:kern w:val="0"/>
          <w:szCs w:val="32"/>
          <w:u w:val="wave"/>
        </w:rPr>
        <w:t>21.3.1本次采购</w:t>
      </w:r>
      <w:r>
        <w:rPr>
          <w:rFonts w:hint="eastAsia"/>
          <w:kern w:val="0"/>
          <w:szCs w:val="32"/>
          <w:u w:val="wave"/>
        </w:rPr>
        <w:t>食材分组XXX</w:t>
      </w:r>
      <w:r>
        <w:rPr>
          <w:kern w:val="0"/>
          <w:szCs w:val="32"/>
          <w:u w:val="wave"/>
        </w:rPr>
        <w:t>至</w:t>
      </w:r>
      <w:r>
        <w:rPr>
          <w:rFonts w:hint="eastAsia"/>
          <w:kern w:val="0"/>
          <w:szCs w:val="32"/>
          <w:u w:val="wave"/>
        </w:rPr>
        <w:t>食材分组XXX</w:t>
      </w:r>
      <w:r>
        <w:rPr>
          <w:kern w:val="0"/>
          <w:szCs w:val="32"/>
          <w:u w:val="wave"/>
        </w:rPr>
        <w:t>采用“</w:t>
      </w:r>
      <w:r>
        <w:rPr>
          <w:rFonts w:hint="eastAsia"/>
          <w:kern w:val="0"/>
          <w:szCs w:val="32"/>
          <w:u w:val="wave"/>
        </w:rPr>
        <w:t>评标竞价</w:t>
      </w:r>
      <w:r>
        <w:rPr>
          <w:kern w:val="0"/>
          <w:szCs w:val="32"/>
          <w:u w:val="wave"/>
        </w:rPr>
        <w:t>”方式定价和综合评分法</w:t>
      </w:r>
      <w:r>
        <w:rPr>
          <w:rFonts w:hint="eastAsia"/>
          <w:kern w:val="0"/>
          <w:szCs w:val="32"/>
          <w:u w:val="wave"/>
        </w:rPr>
        <w:t>，食材分组XXX至食材分组XXX</w:t>
      </w:r>
      <w:r>
        <w:rPr>
          <w:kern w:val="0"/>
          <w:szCs w:val="32"/>
          <w:u w:val="wave"/>
        </w:rPr>
        <w:t>采用“</w:t>
      </w:r>
      <w:r>
        <w:rPr>
          <w:rFonts w:hint="eastAsia"/>
          <w:kern w:val="0"/>
          <w:szCs w:val="32"/>
          <w:u w:val="wave"/>
        </w:rPr>
        <w:t>实际竞价</w:t>
      </w:r>
      <w:r>
        <w:rPr>
          <w:kern w:val="0"/>
          <w:szCs w:val="32"/>
          <w:u w:val="wave"/>
        </w:rPr>
        <w:t>”方式定价和系统自动评分法，评标方法和标准详见本招标文件第三章。</w:t>
      </w:r>
    </w:p>
    <w:p>
      <w:pPr>
        <w:shd w:val="clear" w:color="auto" w:fill="FFFFFF"/>
        <w:overflowPunct/>
        <w:adjustRightInd/>
        <w:snapToGrid/>
        <w:spacing w:line="560" w:lineRule="exact"/>
        <w:ind w:firstLine="640"/>
        <w:rPr>
          <w:kern w:val="0"/>
          <w:szCs w:val="32"/>
        </w:rPr>
      </w:pPr>
      <w:r>
        <w:rPr>
          <w:kern w:val="0"/>
          <w:szCs w:val="32"/>
        </w:rPr>
        <w:t>21.3.2综合评分法，是指投标文件满足招标文件全部实质性要求，且按照评审因素的量化指标评审得分最高的第一名投标人为中标候选人的评标方法。</w:t>
      </w:r>
    </w:p>
    <w:p>
      <w:pPr>
        <w:shd w:val="clear" w:color="auto" w:fill="FFFFFF"/>
        <w:overflowPunct/>
        <w:adjustRightInd/>
        <w:snapToGrid/>
        <w:spacing w:line="560" w:lineRule="exact"/>
        <w:ind w:firstLine="640"/>
        <w:rPr>
          <w:kern w:val="0"/>
          <w:szCs w:val="32"/>
        </w:rPr>
      </w:pPr>
      <w:r>
        <w:rPr>
          <w:kern w:val="0"/>
          <w:szCs w:val="32"/>
        </w:rPr>
        <w:t>21.3.3系统自动评分法，是指投标人按照招标文件中确定的</w:t>
      </w:r>
      <w:r>
        <w:rPr>
          <w:rFonts w:hint="eastAsia"/>
          <w:kern w:val="0"/>
          <w:szCs w:val="32"/>
        </w:rPr>
        <w:t>实际竞价</w:t>
      </w:r>
      <w:r>
        <w:rPr>
          <w:kern w:val="0"/>
          <w:szCs w:val="32"/>
        </w:rPr>
        <w:t>的招标周期，通过</w:t>
      </w:r>
      <w:r>
        <w:rPr>
          <w:rFonts w:hint="eastAsia"/>
          <w:kern w:val="0"/>
          <w:szCs w:val="32"/>
        </w:rPr>
        <w:t>“阳光食堂”平台</w:t>
      </w:r>
      <w:r>
        <w:rPr>
          <w:kern w:val="0"/>
          <w:szCs w:val="32"/>
        </w:rPr>
        <w:t>定期对食材需求进行报价竞价。</w:t>
      </w:r>
      <w:r>
        <w:rPr>
          <w:rFonts w:hint="eastAsia"/>
          <w:kern w:val="0"/>
          <w:szCs w:val="32"/>
        </w:rPr>
        <w:t>“阳光食堂”平台</w:t>
      </w:r>
      <w:r>
        <w:rPr>
          <w:kern w:val="0"/>
          <w:szCs w:val="32"/>
        </w:rPr>
        <w:t>根据技术指标自动评分，得分最高的第一名投标人为中标候选人的评标办法。</w:t>
      </w:r>
    </w:p>
    <w:p>
      <w:pPr>
        <w:shd w:val="clear" w:color="auto" w:fill="FFFFFF"/>
        <w:overflowPunct/>
        <w:adjustRightInd/>
        <w:snapToGrid/>
        <w:spacing w:line="560" w:lineRule="exact"/>
        <w:ind w:firstLine="643"/>
        <w:rPr>
          <w:b/>
          <w:bCs/>
          <w:kern w:val="0"/>
          <w:szCs w:val="32"/>
        </w:rPr>
      </w:pPr>
      <w:r>
        <w:rPr>
          <w:rFonts w:hint="eastAsia"/>
          <w:b/>
          <w:bCs/>
          <w:kern w:val="0"/>
          <w:szCs w:val="32"/>
        </w:rPr>
        <w:t>22.</w:t>
      </w:r>
      <w:r>
        <w:rPr>
          <w:b/>
          <w:bCs/>
          <w:kern w:val="0"/>
          <w:szCs w:val="32"/>
        </w:rPr>
        <w:t>确定中标人</w:t>
      </w:r>
    </w:p>
    <w:p>
      <w:pPr>
        <w:shd w:val="clear" w:color="auto" w:fill="FFFFFF"/>
        <w:overflowPunct/>
        <w:adjustRightInd/>
        <w:snapToGrid/>
        <w:spacing w:line="560" w:lineRule="exact"/>
        <w:ind w:firstLine="640"/>
        <w:rPr>
          <w:kern w:val="0"/>
          <w:szCs w:val="32"/>
        </w:rPr>
      </w:pPr>
      <w:r>
        <w:rPr>
          <w:kern w:val="0"/>
          <w:szCs w:val="32"/>
        </w:rPr>
        <w:t>22.1评标结果按评审后得分由高到低顺序排列。得分相同的，按投标报价由低到高顺序排列。得分且投标报价相同的并列，按技术指标优劣顺序排列。</w:t>
      </w:r>
      <w:bookmarkStart w:id="85" w:name="_Hlk44576646"/>
      <w:r>
        <w:rPr>
          <w:kern w:val="0"/>
          <w:szCs w:val="32"/>
        </w:rPr>
        <w:t>投标文件满足招标文件全部实质性要求，</w:t>
      </w:r>
      <w:bookmarkEnd w:id="85"/>
      <w:r>
        <w:rPr>
          <w:kern w:val="0"/>
          <w:szCs w:val="32"/>
        </w:rPr>
        <w:t>且按照评审因素的量化指标评审得分最高的投标人为排名第一的中标候选人，经采购人授权，评标委员会将综合排名第一的中标候选人确定为中标人。</w:t>
      </w:r>
    </w:p>
    <w:p>
      <w:pPr>
        <w:shd w:val="clear" w:color="auto" w:fill="FFFFFF"/>
        <w:overflowPunct/>
        <w:adjustRightInd/>
        <w:snapToGrid/>
        <w:spacing w:line="560" w:lineRule="exact"/>
        <w:ind w:firstLine="640"/>
        <w:rPr>
          <w:kern w:val="0"/>
          <w:szCs w:val="32"/>
          <w:u w:val="wave"/>
        </w:rPr>
      </w:pPr>
      <w:r>
        <w:rPr>
          <w:kern w:val="0"/>
          <w:szCs w:val="32"/>
          <w:u w:val="wave"/>
        </w:rPr>
        <w:t>本项目可以兼投兼中，</w:t>
      </w:r>
      <w:r>
        <w:rPr>
          <w:rFonts w:hint="eastAsia"/>
          <w:kern w:val="0"/>
          <w:szCs w:val="32"/>
          <w:u w:val="wave"/>
        </w:rPr>
        <w:t>“</w:t>
      </w:r>
      <w:r>
        <w:rPr>
          <w:kern w:val="0"/>
          <w:szCs w:val="32"/>
          <w:u w:val="wave"/>
        </w:rPr>
        <w:t>实际竞价”标段中，入围</w:t>
      </w:r>
      <w:r>
        <w:rPr>
          <w:rFonts w:hint="eastAsia"/>
          <w:kern w:val="0"/>
          <w:szCs w:val="32"/>
          <w:u w:val="wave"/>
        </w:rPr>
        <w:t>投标人</w:t>
      </w:r>
      <w:r>
        <w:rPr>
          <w:kern w:val="0"/>
          <w:szCs w:val="32"/>
          <w:u w:val="wave"/>
        </w:rPr>
        <w:t>根据资格审查后确认的</w:t>
      </w:r>
      <w:r>
        <w:rPr>
          <w:rFonts w:hint="eastAsia"/>
          <w:kern w:val="0"/>
          <w:szCs w:val="32"/>
          <w:u w:val="wave"/>
        </w:rPr>
        <w:t>运输能力值决定中标数量</w:t>
      </w:r>
      <w:r>
        <w:rPr>
          <w:kern w:val="0"/>
          <w:szCs w:val="32"/>
          <w:u w:val="wave"/>
        </w:rPr>
        <w:t>，</w:t>
      </w:r>
      <w:r>
        <w:rPr>
          <w:rFonts w:hint="eastAsia"/>
          <w:kern w:val="0"/>
          <w:szCs w:val="32"/>
          <w:u w:val="wave"/>
        </w:rPr>
        <w:t>即每中一个标段，根据标段食材每日运送总量扣除相应的运输能力值，当运输能力值不足时，无法继续中标。</w:t>
      </w:r>
      <w:r>
        <w:rPr>
          <w:kern w:val="0"/>
          <w:szCs w:val="32"/>
          <w:u w:val="wave"/>
        </w:rPr>
        <w:t>每个标段中标人仅为1家。</w:t>
      </w:r>
    </w:p>
    <w:p>
      <w:pPr>
        <w:shd w:val="clear" w:color="auto" w:fill="FFFFFF"/>
        <w:overflowPunct/>
        <w:adjustRightInd/>
        <w:snapToGrid/>
        <w:spacing w:line="560" w:lineRule="exact"/>
        <w:ind w:firstLine="640"/>
        <w:rPr>
          <w:kern w:val="0"/>
          <w:szCs w:val="32"/>
        </w:rPr>
      </w:pPr>
      <w:r>
        <w:rPr>
          <w:kern w:val="0"/>
          <w:szCs w:val="32"/>
        </w:rPr>
        <w:t>22.2中标人确定后，采购人或者采购代理机构在原</w:t>
      </w:r>
      <w:r>
        <w:rPr>
          <w:kern w:val="0"/>
          <w:szCs w:val="32"/>
          <w:lang w:val="zh-CN"/>
        </w:rPr>
        <w:t>信息发布媒体上公告</w:t>
      </w:r>
      <w:r>
        <w:rPr>
          <w:kern w:val="0"/>
          <w:szCs w:val="32"/>
        </w:rPr>
        <w:t>中标结果，中标公告期为X个工作日，公告的同时向中标人发出中标通知书。</w:t>
      </w:r>
    </w:p>
    <w:p>
      <w:pPr>
        <w:shd w:val="clear" w:color="auto" w:fill="FFFFFF"/>
        <w:overflowPunct/>
        <w:adjustRightInd/>
        <w:snapToGrid/>
        <w:spacing w:line="560" w:lineRule="exact"/>
        <w:ind w:firstLine="640"/>
        <w:rPr>
          <w:kern w:val="0"/>
          <w:szCs w:val="32"/>
        </w:rPr>
      </w:pPr>
      <w:r>
        <w:rPr>
          <w:kern w:val="0"/>
          <w:szCs w:val="32"/>
        </w:rPr>
        <w:t>22.3 中标通知书对采购人和中标人具有同等法律效力。</w:t>
      </w:r>
    </w:p>
    <w:p>
      <w:pPr>
        <w:shd w:val="clear" w:color="auto" w:fill="FFFFFF"/>
        <w:overflowPunct/>
        <w:adjustRightInd/>
        <w:snapToGrid/>
        <w:spacing w:line="560" w:lineRule="exact"/>
        <w:ind w:firstLine="640"/>
        <w:rPr>
          <w:kern w:val="0"/>
          <w:szCs w:val="32"/>
        </w:rPr>
      </w:pPr>
      <w:r>
        <w:rPr>
          <w:kern w:val="0"/>
          <w:szCs w:val="32"/>
        </w:rPr>
        <w:t>22.4中标通知书发出后，采购人或中标人拒绝签订合同的，拒绝签订合同的一方应至少向另一方支付补偿金，以及为采购、投标所发生的有关费用和双方商定的其他补偿。</w:t>
      </w:r>
    </w:p>
    <w:p>
      <w:pPr>
        <w:shd w:val="clear" w:color="auto" w:fill="FFFFFF"/>
        <w:overflowPunct/>
        <w:adjustRightInd/>
        <w:snapToGrid/>
        <w:spacing w:line="560" w:lineRule="exact"/>
        <w:ind w:firstLine="640"/>
        <w:rPr>
          <w:b/>
          <w:bCs/>
          <w:kern w:val="0"/>
          <w:szCs w:val="32"/>
        </w:rPr>
      </w:pPr>
      <w:r>
        <w:rPr>
          <w:kern w:val="0"/>
          <w:szCs w:val="32"/>
        </w:rPr>
        <w:t>22.5 中标通知书发出后，中标人无正当理由不与采购人签订合同的，</w:t>
      </w:r>
      <w:r>
        <w:rPr>
          <w:b/>
          <w:bCs/>
          <w:kern w:val="0"/>
          <w:szCs w:val="32"/>
        </w:rPr>
        <w:t>情节严重，经XXX</w:t>
      </w:r>
      <w:r>
        <w:rPr>
          <w:rFonts w:hint="eastAsia"/>
          <w:b/>
          <w:bCs/>
          <w:kern w:val="0"/>
          <w:szCs w:val="32"/>
        </w:rPr>
        <w:t>中小学食材招标工作组</w:t>
      </w:r>
      <w:r>
        <w:rPr>
          <w:b/>
          <w:bCs/>
          <w:kern w:val="0"/>
          <w:szCs w:val="32"/>
        </w:rPr>
        <w:t>核实确认，</w:t>
      </w:r>
      <w:r>
        <w:rPr>
          <w:rFonts w:hint="eastAsia"/>
          <w:b/>
          <w:bCs/>
          <w:kern w:val="0"/>
          <w:szCs w:val="32"/>
        </w:rPr>
        <w:t>取消其中标资格</w:t>
      </w:r>
      <w:r>
        <w:rPr>
          <w:b/>
          <w:bCs/>
          <w:kern w:val="0"/>
          <w:szCs w:val="32"/>
        </w:rPr>
        <w:t>，并予以通报。</w:t>
      </w:r>
    </w:p>
    <w:p>
      <w:pPr>
        <w:shd w:val="clear" w:color="auto" w:fill="FFFFFF"/>
        <w:overflowPunct/>
        <w:adjustRightInd/>
        <w:snapToGrid/>
        <w:spacing w:line="560" w:lineRule="exact"/>
        <w:ind w:firstLine="640"/>
        <w:rPr>
          <w:kern w:val="0"/>
          <w:szCs w:val="32"/>
        </w:rPr>
      </w:pPr>
      <w:r>
        <w:rPr>
          <w:kern w:val="0"/>
          <w:szCs w:val="32"/>
        </w:rPr>
        <w:t>22.6 所有投标文件不论中标与否，均不退回。</w:t>
      </w:r>
    </w:p>
    <w:p>
      <w:pPr>
        <w:shd w:val="clear" w:color="auto" w:fill="FFFFFF"/>
        <w:overflowPunct/>
        <w:adjustRightInd/>
        <w:snapToGrid/>
        <w:spacing w:line="560" w:lineRule="exact"/>
        <w:ind w:firstLine="640"/>
        <w:rPr>
          <w:kern w:val="0"/>
          <w:szCs w:val="32"/>
        </w:rPr>
      </w:pPr>
      <w:r>
        <w:rPr>
          <w:rFonts w:hint="eastAsia"/>
          <w:kern w:val="0"/>
          <w:szCs w:val="32"/>
        </w:rPr>
        <w:t>23.</w:t>
      </w:r>
      <w:r>
        <w:rPr>
          <w:kern w:val="0"/>
          <w:szCs w:val="32"/>
        </w:rPr>
        <w:t>编写评标报告</w:t>
      </w:r>
    </w:p>
    <w:p>
      <w:pPr>
        <w:shd w:val="clear" w:color="auto" w:fill="FFFFFF"/>
        <w:overflowPunct/>
        <w:adjustRightInd/>
        <w:snapToGrid/>
        <w:spacing w:line="560" w:lineRule="exact"/>
        <w:ind w:firstLine="640"/>
        <w:rPr>
          <w:kern w:val="0"/>
          <w:szCs w:val="32"/>
        </w:rPr>
      </w:pPr>
      <w:r>
        <w:rPr>
          <w:kern w:val="0"/>
          <w:szCs w:val="32"/>
        </w:rPr>
        <w:t>23.1评标委员会根据全体评标成员签字的原始评标记录和评标结果编写评标报告。</w:t>
      </w:r>
    </w:p>
    <w:p>
      <w:pPr>
        <w:shd w:val="clear" w:color="auto" w:fill="FFFFFF"/>
        <w:overflowPunct/>
        <w:adjustRightInd/>
        <w:snapToGrid/>
        <w:spacing w:line="560" w:lineRule="exact"/>
        <w:ind w:firstLine="640"/>
        <w:rPr>
          <w:kern w:val="0"/>
          <w:szCs w:val="32"/>
        </w:rPr>
      </w:pPr>
      <w:r>
        <w:rPr>
          <w:rFonts w:hint="eastAsia"/>
          <w:kern w:val="0"/>
          <w:szCs w:val="32"/>
        </w:rPr>
        <w:t>24.</w:t>
      </w:r>
      <w:r>
        <w:rPr>
          <w:kern w:val="0"/>
          <w:szCs w:val="32"/>
        </w:rPr>
        <w:t>评标过程的保密性</w:t>
      </w:r>
    </w:p>
    <w:p>
      <w:pPr>
        <w:shd w:val="clear" w:color="auto" w:fill="FFFFFF"/>
        <w:overflowPunct/>
        <w:adjustRightInd/>
        <w:snapToGrid/>
        <w:spacing w:line="560" w:lineRule="exact"/>
        <w:ind w:firstLine="640"/>
        <w:rPr>
          <w:kern w:val="0"/>
          <w:szCs w:val="32"/>
        </w:rPr>
      </w:pPr>
      <w:r>
        <w:rPr>
          <w:kern w:val="0"/>
          <w:szCs w:val="32"/>
        </w:rPr>
        <w:t>24.1 采购人和采购代理机构将采取必要措施，保证评标在严格保密的情况下进行。</w:t>
      </w:r>
    </w:p>
    <w:p>
      <w:pPr>
        <w:shd w:val="clear" w:color="auto" w:fill="FFFFFF"/>
        <w:overflowPunct/>
        <w:adjustRightInd/>
        <w:snapToGrid/>
        <w:spacing w:line="560" w:lineRule="exact"/>
        <w:ind w:firstLine="640"/>
        <w:rPr>
          <w:kern w:val="0"/>
          <w:szCs w:val="32"/>
        </w:rPr>
      </w:pPr>
      <w:r>
        <w:rPr>
          <w:kern w:val="0"/>
          <w:szCs w:val="32"/>
        </w:rPr>
        <w:t>24.2 任何单位和个人不得非法干预、影响评标办法的确定，以及评标过程和结果。</w:t>
      </w:r>
    </w:p>
    <w:p>
      <w:pPr>
        <w:shd w:val="clear" w:color="auto" w:fill="FFFFFF"/>
        <w:overflowPunct/>
        <w:adjustRightInd/>
        <w:snapToGrid/>
        <w:spacing w:line="560" w:lineRule="exact"/>
        <w:ind w:firstLine="640"/>
        <w:rPr>
          <w:kern w:val="0"/>
          <w:szCs w:val="32"/>
        </w:rPr>
      </w:pPr>
      <w:r>
        <w:rPr>
          <w:kern w:val="0"/>
          <w:szCs w:val="32"/>
        </w:rPr>
        <w:t>24.3 凡是与审查、澄清、评价和比较投标的有关资料等，均不向投标人及与评标无关的其他人员透露。</w:t>
      </w:r>
    </w:p>
    <w:p>
      <w:pPr>
        <w:shd w:val="clear" w:color="auto" w:fill="FFFFFF"/>
        <w:overflowPunct/>
        <w:adjustRightInd/>
        <w:snapToGrid/>
        <w:spacing w:line="560" w:lineRule="exact"/>
        <w:ind w:firstLine="640"/>
        <w:rPr>
          <w:rFonts w:eastAsia="黑体"/>
          <w:kern w:val="0"/>
          <w:szCs w:val="32"/>
        </w:rPr>
      </w:pPr>
      <w:r>
        <w:rPr>
          <w:rFonts w:eastAsia="黑体"/>
          <w:kern w:val="0"/>
          <w:szCs w:val="32"/>
        </w:rPr>
        <w:t>六、签订合同</w:t>
      </w:r>
    </w:p>
    <w:p>
      <w:pPr>
        <w:shd w:val="clear" w:color="auto" w:fill="FFFFFF"/>
        <w:overflowPunct/>
        <w:adjustRightInd/>
        <w:snapToGrid/>
        <w:spacing w:line="560" w:lineRule="exact"/>
        <w:ind w:firstLine="643"/>
        <w:rPr>
          <w:b/>
          <w:bCs/>
          <w:kern w:val="0"/>
          <w:szCs w:val="32"/>
        </w:rPr>
      </w:pPr>
      <w:r>
        <w:rPr>
          <w:rFonts w:hint="eastAsia"/>
          <w:b/>
          <w:bCs/>
          <w:kern w:val="0"/>
          <w:szCs w:val="32"/>
        </w:rPr>
        <w:t>25.</w:t>
      </w:r>
      <w:r>
        <w:rPr>
          <w:b/>
          <w:bCs/>
          <w:kern w:val="0"/>
          <w:szCs w:val="32"/>
        </w:rPr>
        <w:t>签订供货合同</w:t>
      </w:r>
    </w:p>
    <w:p>
      <w:pPr>
        <w:shd w:val="clear" w:color="auto" w:fill="FFFFFF"/>
        <w:overflowPunct/>
        <w:adjustRightInd/>
        <w:snapToGrid/>
        <w:spacing w:line="560" w:lineRule="exact"/>
        <w:ind w:firstLine="640"/>
        <w:rPr>
          <w:kern w:val="0"/>
          <w:szCs w:val="32"/>
        </w:rPr>
      </w:pPr>
      <w:r>
        <w:rPr>
          <w:kern w:val="0"/>
          <w:szCs w:val="32"/>
        </w:rPr>
        <w:t>25.1采购人与中标人应当自中标通知书发出之日起XX日内，按照招标文件和中标人投标文件的规定，签订供货合同。所签订的供货合同不得对招标文件确定的事项和中标人投标文件作实质性修改。</w:t>
      </w:r>
    </w:p>
    <w:p>
      <w:pPr>
        <w:shd w:val="clear" w:color="auto" w:fill="FFFFFF"/>
        <w:overflowPunct/>
        <w:adjustRightInd/>
        <w:snapToGrid/>
        <w:spacing w:line="560" w:lineRule="exact"/>
        <w:ind w:firstLine="640"/>
        <w:rPr>
          <w:kern w:val="0"/>
          <w:szCs w:val="32"/>
        </w:rPr>
      </w:pPr>
      <w:r>
        <w:rPr>
          <w:kern w:val="0"/>
          <w:szCs w:val="32"/>
        </w:rPr>
        <w:t>25.2采购人不得向中标人提出任何不合理的要求作为签订供货合同的条件。</w:t>
      </w:r>
    </w:p>
    <w:p>
      <w:pPr>
        <w:shd w:val="clear" w:color="auto" w:fill="FFFFFF"/>
        <w:overflowPunct/>
        <w:adjustRightInd/>
        <w:snapToGrid/>
        <w:spacing w:line="560" w:lineRule="exact"/>
        <w:ind w:firstLine="640"/>
        <w:rPr>
          <w:kern w:val="0"/>
          <w:szCs w:val="32"/>
        </w:rPr>
      </w:pPr>
      <w:r>
        <w:rPr>
          <w:kern w:val="0"/>
          <w:szCs w:val="32"/>
        </w:rPr>
        <w:t>25.3中标人拒绝与采购人签订供货合同的，采购人可以按照评审报告推荐的中标候选人名单排序，确定下一候选人为中标人，也可以重新开展政府采购活动。</w:t>
      </w:r>
    </w:p>
    <w:p>
      <w:pPr>
        <w:shd w:val="clear" w:color="auto" w:fill="FFFFFF"/>
        <w:overflowPunct/>
        <w:adjustRightInd/>
        <w:snapToGrid/>
        <w:spacing w:line="560" w:lineRule="exact"/>
        <w:ind w:firstLine="640"/>
        <w:rPr>
          <w:kern w:val="0"/>
          <w:szCs w:val="32"/>
        </w:rPr>
      </w:pPr>
      <w:r>
        <w:rPr>
          <w:kern w:val="0"/>
          <w:szCs w:val="32"/>
        </w:rPr>
        <w:t>25.4 合同履行中，采购人需追加与合同标的相同的货物的，在不改变合同其他条款的前提下，可以与投标人协商签订补充合同，但所有补充合同的采购金额不得超过原合同采购金额的百分之十。</w:t>
      </w:r>
    </w:p>
    <w:p>
      <w:pPr>
        <w:shd w:val="clear" w:color="auto" w:fill="FFFFFF"/>
        <w:overflowPunct/>
        <w:adjustRightInd/>
        <w:snapToGrid/>
        <w:spacing w:line="560" w:lineRule="exact"/>
        <w:ind w:firstLine="640"/>
        <w:rPr>
          <w:kern w:val="0"/>
          <w:szCs w:val="32"/>
        </w:rPr>
      </w:pPr>
      <w:r>
        <w:rPr>
          <w:kern w:val="0"/>
          <w:szCs w:val="32"/>
        </w:rPr>
        <w:t>25.5 采购人与中标人应当根据供货合同的约定依法履行合同义务。</w:t>
      </w:r>
    </w:p>
    <w:p>
      <w:pPr>
        <w:shd w:val="clear" w:color="auto" w:fill="FFFFFF"/>
        <w:overflowPunct/>
        <w:adjustRightInd/>
        <w:snapToGrid/>
        <w:spacing w:line="560" w:lineRule="exact"/>
        <w:ind w:firstLine="640"/>
        <w:rPr>
          <w:rFonts w:eastAsia="黑体"/>
          <w:kern w:val="0"/>
          <w:szCs w:val="32"/>
        </w:rPr>
      </w:pPr>
      <w:r>
        <w:rPr>
          <w:rFonts w:eastAsia="黑体"/>
          <w:kern w:val="0"/>
          <w:szCs w:val="32"/>
        </w:rPr>
        <w:t>七、质疑和投诉</w:t>
      </w:r>
    </w:p>
    <w:p>
      <w:pPr>
        <w:shd w:val="clear" w:color="auto" w:fill="FFFFFF"/>
        <w:overflowPunct/>
        <w:adjustRightInd/>
        <w:snapToGrid/>
        <w:spacing w:line="560" w:lineRule="exact"/>
        <w:ind w:firstLine="643"/>
        <w:rPr>
          <w:b/>
          <w:bCs/>
          <w:kern w:val="0"/>
          <w:szCs w:val="32"/>
        </w:rPr>
      </w:pPr>
      <w:r>
        <w:rPr>
          <w:rFonts w:hint="eastAsia"/>
          <w:b/>
          <w:bCs/>
          <w:kern w:val="0"/>
          <w:szCs w:val="32"/>
        </w:rPr>
        <w:t>26.</w:t>
      </w:r>
      <w:r>
        <w:rPr>
          <w:b/>
          <w:bCs/>
          <w:kern w:val="0"/>
          <w:szCs w:val="32"/>
        </w:rPr>
        <w:t>质疑</w:t>
      </w:r>
    </w:p>
    <w:p>
      <w:pPr>
        <w:shd w:val="clear" w:color="auto" w:fill="FFFFFF"/>
        <w:overflowPunct/>
        <w:adjustRightInd/>
        <w:snapToGrid/>
        <w:spacing w:line="560" w:lineRule="exact"/>
        <w:ind w:firstLine="640"/>
        <w:rPr>
          <w:kern w:val="0"/>
          <w:szCs w:val="32"/>
        </w:rPr>
      </w:pPr>
      <w:r>
        <w:rPr>
          <w:kern w:val="0"/>
          <w:szCs w:val="32"/>
        </w:rPr>
        <w:t>26.1投标人对采购活动事项有疑问的，可以向采购代理机构提出询问，采购代理机构将依法作出答复，但答复的内容不涉及商业秘密。</w:t>
      </w:r>
    </w:p>
    <w:p>
      <w:pPr>
        <w:shd w:val="clear" w:color="auto" w:fill="FFFFFF"/>
        <w:overflowPunct/>
        <w:adjustRightInd/>
        <w:snapToGrid/>
        <w:spacing w:line="560" w:lineRule="exact"/>
        <w:ind w:firstLine="640"/>
        <w:rPr>
          <w:kern w:val="0"/>
          <w:szCs w:val="32"/>
        </w:rPr>
      </w:pPr>
      <w:r>
        <w:rPr>
          <w:kern w:val="0"/>
          <w:szCs w:val="32"/>
        </w:rPr>
        <w:t>26.2提出质疑的投标人应当是参与所质疑项目采购活动的投标人。潜在投标人已依法获取其可质疑的招标文件的，可以对该文件提出质疑。</w:t>
      </w:r>
    </w:p>
    <w:p>
      <w:pPr>
        <w:shd w:val="clear" w:color="auto" w:fill="FFFFFF"/>
        <w:overflowPunct/>
        <w:adjustRightInd/>
        <w:snapToGrid/>
        <w:spacing w:line="560" w:lineRule="exact"/>
        <w:ind w:firstLine="640"/>
        <w:rPr>
          <w:kern w:val="0"/>
          <w:szCs w:val="32"/>
        </w:rPr>
      </w:pPr>
      <w:r>
        <w:rPr>
          <w:kern w:val="0"/>
          <w:szCs w:val="32"/>
        </w:rPr>
        <w:t>26.3投标人认为招标文件、采购过程和中标结果使自己的合法权益受到损害的，可以在知道或者应知其权益受到损害之日起七个工作日内，将质疑文件原件送达采购人或采购代理机构。</w:t>
      </w:r>
    </w:p>
    <w:p>
      <w:pPr>
        <w:shd w:val="clear" w:color="auto" w:fill="FFFFFF"/>
        <w:overflowPunct/>
        <w:adjustRightInd/>
        <w:snapToGrid/>
        <w:spacing w:line="560" w:lineRule="exact"/>
        <w:ind w:firstLine="640"/>
        <w:rPr>
          <w:kern w:val="0"/>
          <w:szCs w:val="32"/>
        </w:rPr>
      </w:pPr>
      <w:r>
        <w:rPr>
          <w:kern w:val="0"/>
          <w:szCs w:val="32"/>
        </w:rPr>
        <w:t>投标人应知其权益受到损害之日，是指：对招标文件提出质疑的，应当在获取招标文件或者招标文件公告期限届满之日起7个工作日内提出；对采购过程提出质疑的，为各采购程序环节结束之日；对中标结果提出质疑的，为中标结果公告期限届满之日。</w:t>
      </w:r>
    </w:p>
    <w:p>
      <w:pPr>
        <w:shd w:val="clear" w:color="auto" w:fill="FFFFFF"/>
        <w:overflowPunct/>
        <w:adjustRightInd/>
        <w:snapToGrid/>
        <w:spacing w:line="560" w:lineRule="exact"/>
        <w:ind w:firstLine="640"/>
        <w:rPr>
          <w:kern w:val="0"/>
          <w:szCs w:val="32"/>
        </w:rPr>
      </w:pPr>
      <w:r>
        <w:rPr>
          <w:kern w:val="0"/>
          <w:szCs w:val="32"/>
        </w:rPr>
        <w:t>投标人必须在法定质疑期内一次性提出针对同一采购程序环节的质疑。</w:t>
      </w:r>
    </w:p>
    <w:p>
      <w:pPr>
        <w:shd w:val="clear" w:color="auto" w:fill="FFFFFF"/>
        <w:overflowPunct/>
        <w:adjustRightInd/>
        <w:snapToGrid/>
        <w:spacing w:line="560" w:lineRule="exact"/>
        <w:ind w:firstLine="640"/>
        <w:rPr>
          <w:kern w:val="0"/>
          <w:szCs w:val="32"/>
        </w:rPr>
      </w:pPr>
      <w:r>
        <w:rPr>
          <w:kern w:val="0"/>
          <w:szCs w:val="32"/>
        </w:rPr>
        <w:t>26.4 投标人提出质疑可参照《政府采购质疑和投诉办法》的规定提交质疑函和必要的证明材料。质疑函应当包括下列内容：</w:t>
      </w:r>
    </w:p>
    <w:p>
      <w:pPr>
        <w:shd w:val="clear" w:color="auto" w:fill="FFFFFF"/>
        <w:overflowPunct/>
        <w:adjustRightInd/>
        <w:snapToGrid/>
        <w:spacing w:line="540" w:lineRule="exact"/>
        <w:ind w:firstLine="640"/>
        <w:rPr>
          <w:kern w:val="0"/>
          <w:szCs w:val="32"/>
        </w:rPr>
      </w:pPr>
      <w:r>
        <w:rPr>
          <w:kern w:val="0"/>
          <w:szCs w:val="32"/>
        </w:rPr>
        <w:t>（1）投标人的姓名或者名称、地址、邮编、联系人及联系电话；</w:t>
      </w:r>
    </w:p>
    <w:p>
      <w:pPr>
        <w:shd w:val="clear" w:color="auto" w:fill="FFFFFF"/>
        <w:overflowPunct/>
        <w:adjustRightInd/>
        <w:snapToGrid/>
        <w:spacing w:line="540" w:lineRule="exact"/>
        <w:ind w:firstLine="640"/>
        <w:rPr>
          <w:kern w:val="0"/>
          <w:szCs w:val="32"/>
        </w:rPr>
      </w:pPr>
      <w:r>
        <w:rPr>
          <w:kern w:val="0"/>
          <w:szCs w:val="32"/>
        </w:rPr>
        <w:t>（2）质疑项目的名称、编号；</w:t>
      </w:r>
    </w:p>
    <w:p>
      <w:pPr>
        <w:shd w:val="clear" w:color="auto" w:fill="FFFFFF"/>
        <w:overflowPunct/>
        <w:adjustRightInd/>
        <w:snapToGrid/>
        <w:spacing w:line="540" w:lineRule="exact"/>
        <w:ind w:firstLine="640"/>
        <w:rPr>
          <w:kern w:val="0"/>
          <w:szCs w:val="32"/>
        </w:rPr>
      </w:pPr>
      <w:r>
        <w:rPr>
          <w:kern w:val="0"/>
          <w:szCs w:val="32"/>
        </w:rPr>
        <w:t>（3）具体、明确的质疑事项和与质疑事项相关的请求（具体条款）；</w:t>
      </w:r>
    </w:p>
    <w:p>
      <w:pPr>
        <w:shd w:val="clear" w:color="auto" w:fill="FFFFFF"/>
        <w:overflowPunct/>
        <w:adjustRightInd/>
        <w:snapToGrid/>
        <w:spacing w:line="540" w:lineRule="exact"/>
        <w:ind w:firstLine="640"/>
        <w:rPr>
          <w:kern w:val="0"/>
          <w:szCs w:val="32"/>
        </w:rPr>
      </w:pPr>
      <w:r>
        <w:rPr>
          <w:kern w:val="0"/>
          <w:szCs w:val="32"/>
        </w:rPr>
        <w:t>（4）事实依据（具体条款）；</w:t>
      </w:r>
    </w:p>
    <w:p>
      <w:pPr>
        <w:shd w:val="clear" w:color="auto" w:fill="FFFFFF"/>
        <w:overflowPunct/>
        <w:adjustRightInd/>
        <w:snapToGrid/>
        <w:spacing w:line="540" w:lineRule="exact"/>
        <w:ind w:firstLine="640"/>
        <w:rPr>
          <w:kern w:val="0"/>
          <w:szCs w:val="32"/>
        </w:rPr>
      </w:pPr>
      <w:r>
        <w:rPr>
          <w:kern w:val="0"/>
          <w:szCs w:val="32"/>
        </w:rPr>
        <w:t>（5）必要的法律依据（具体条款）；</w:t>
      </w:r>
    </w:p>
    <w:p>
      <w:pPr>
        <w:shd w:val="clear" w:color="auto" w:fill="FFFFFF"/>
        <w:overflowPunct/>
        <w:adjustRightInd/>
        <w:snapToGrid/>
        <w:spacing w:line="540" w:lineRule="exact"/>
        <w:ind w:firstLine="640"/>
        <w:rPr>
          <w:kern w:val="0"/>
          <w:szCs w:val="32"/>
        </w:rPr>
      </w:pPr>
      <w:r>
        <w:rPr>
          <w:kern w:val="0"/>
          <w:szCs w:val="32"/>
        </w:rPr>
        <w:t>（6）提出质疑的日期。</w:t>
      </w:r>
    </w:p>
    <w:p>
      <w:pPr>
        <w:shd w:val="clear" w:color="auto" w:fill="FFFFFF"/>
        <w:overflowPunct/>
        <w:adjustRightInd/>
        <w:snapToGrid/>
        <w:spacing w:line="540" w:lineRule="exact"/>
        <w:ind w:firstLine="640"/>
        <w:rPr>
          <w:kern w:val="0"/>
          <w:szCs w:val="32"/>
        </w:rPr>
      </w:pPr>
      <w:r>
        <w:rPr>
          <w:kern w:val="0"/>
          <w:szCs w:val="32"/>
        </w:rPr>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pPr>
        <w:shd w:val="clear" w:color="auto" w:fill="FFFFFF"/>
        <w:overflowPunct/>
        <w:adjustRightInd/>
        <w:snapToGrid/>
        <w:spacing w:line="540" w:lineRule="exact"/>
        <w:ind w:firstLine="640"/>
        <w:rPr>
          <w:kern w:val="0"/>
          <w:szCs w:val="32"/>
        </w:rPr>
      </w:pPr>
      <w:r>
        <w:rPr>
          <w:kern w:val="0"/>
          <w:szCs w:val="32"/>
        </w:rPr>
        <w:t>质疑函应当使用中文。相关当事人提供外文书证或者外国语视听资料的，应当附有中文译本，由翻译机构盖章或者翻译人员签名。</w:t>
      </w:r>
    </w:p>
    <w:p>
      <w:pPr>
        <w:shd w:val="clear" w:color="auto" w:fill="FFFFFF"/>
        <w:overflowPunct/>
        <w:adjustRightInd/>
        <w:snapToGrid/>
        <w:spacing w:line="540" w:lineRule="exact"/>
        <w:ind w:firstLine="640"/>
        <w:rPr>
          <w:kern w:val="0"/>
          <w:szCs w:val="32"/>
        </w:rPr>
      </w:pPr>
      <w:r>
        <w:rPr>
          <w:kern w:val="0"/>
          <w:szCs w:val="32"/>
        </w:rPr>
        <w:t>26.5质疑函应当现场提交至采购代理机构联系人处，提交时应出示有效身份证明。未按上述要求提交质疑函的，质疑不予受理。</w:t>
      </w:r>
    </w:p>
    <w:p>
      <w:pPr>
        <w:shd w:val="clear" w:color="auto" w:fill="FFFFFF"/>
        <w:overflowPunct/>
        <w:adjustRightInd/>
        <w:snapToGrid/>
        <w:spacing w:line="540" w:lineRule="exact"/>
        <w:ind w:firstLine="640"/>
        <w:rPr>
          <w:kern w:val="0"/>
          <w:szCs w:val="32"/>
        </w:rPr>
      </w:pPr>
      <w:r>
        <w:rPr>
          <w:kern w:val="0"/>
          <w:szCs w:val="32"/>
        </w:rPr>
        <w:t>26.6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shd w:val="clear" w:color="auto" w:fill="FFFFFF"/>
        <w:overflowPunct/>
        <w:adjustRightInd/>
        <w:snapToGrid/>
        <w:spacing w:line="560" w:lineRule="exact"/>
        <w:ind w:firstLine="640"/>
        <w:rPr>
          <w:kern w:val="0"/>
          <w:szCs w:val="32"/>
        </w:rPr>
      </w:pPr>
      <w:r>
        <w:rPr>
          <w:kern w:val="0"/>
          <w:szCs w:val="32"/>
        </w:rPr>
        <w:t>26.7采购代理机构在收到投标人的书面质疑后将及时组织调查核实，在七个工作日内作出答复，并以书面或在网站公告形式通知质疑投标人和其他有关投标人，答复的内容不涉及商业秘密。</w:t>
      </w:r>
    </w:p>
    <w:p>
      <w:pPr>
        <w:shd w:val="clear" w:color="auto" w:fill="FFFFFF"/>
        <w:overflowPunct/>
        <w:adjustRightInd/>
        <w:snapToGrid/>
        <w:spacing w:line="560" w:lineRule="exact"/>
        <w:ind w:firstLine="643"/>
        <w:rPr>
          <w:b/>
          <w:bCs/>
          <w:kern w:val="0"/>
          <w:szCs w:val="32"/>
        </w:rPr>
      </w:pPr>
      <w:r>
        <w:rPr>
          <w:rFonts w:hint="eastAsia"/>
          <w:b/>
          <w:bCs/>
          <w:kern w:val="0"/>
          <w:szCs w:val="32"/>
        </w:rPr>
        <w:t>27.</w:t>
      </w:r>
      <w:r>
        <w:rPr>
          <w:b/>
          <w:bCs/>
          <w:kern w:val="0"/>
          <w:szCs w:val="32"/>
        </w:rPr>
        <w:t>投诉</w:t>
      </w:r>
    </w:p>
    <w:p>
      <w:pPr>
        <w:shd w:val="clear" w:color="auto" w:fill="FFFFFF"/>
        <w:overflowPunct/>
        <w:adjustRightInd/>
        <w:snapToGrid/>
        <w:spacing w:line="560" w:lineRule="exact"/>
        <w:ind w:firstLine="640"/>
        <w:rPr>
          <w:kern w:val="0"/>
          <w:szCs w:val="32"/>
          <w:u w:val="wave"/>
        </w:rPr>
      </w:pPr>
      <w:r>
        <w:rPr>
          <w:kern w:val="0"/>
          <w:szCs w:val="32"/>
        </w:rPr>
        <w:t>27.1质疑投标人对采购代理机构的答复不满意或者采购代理机构未在规定的时间内作出答复的，可以在答复期满后十五个工作日内向</w:t>
      </w:r>
      <w:r>
        <w:rPr>
          <w:kern w:val="0"/>
          <w:szCs w:val="32"/>
          <w:u w:val="wave"/>
        </w:rPr>
        <w:t>同级教育部门投诉。</w:t>
      </w:r>
    </w:p>
    <w:p>
      <w:pPr>
        <w:shd w:val="clear" w:color="auto" w:fill="FFFFFF"/>
        <w:overflowPunct/>
        <w:adjustRightInd/>
        <w:snapToGrid/>
        <w:spacing w:line="560" w:lineRule="exact"/>
        <w:ind w:firstLine="640"/>
        <w:rPr>
          <w:kern w:val="0"/>
          <w:szCs w:val="32"/>
        </w:rPr>
      </w:pPr>
      <w:r>
        <w:rPr>
          <w:kern w:val="0"/>
          <w:szCs w:val="32"/>
        </w:rPr>
        <w:t>27.2投标人投诉应当有明确的请求和必要的证明材料。投标人投诉的事项不得超出已质疑事项的范围。</w:t>
      </w:r>
    </w:p>
    <w:p>
      <w:pPr>
        <w:overflowPunct/>
        <w:adjustRightInd/>
        <w:snapToGrid/>
        <w:spacing w:line="560" w:lineRule="exact"/>
        <w:ind w:firstLine="640"/>
        <w:rPr>
          <w:szCs w:val="32"/>
        </w:rPr>
      </w:pPr>
      <w:r>
        <w:rPr>
          <w:szCs w:val="32"/>
        </w:rPr>
        <w:t>27.3投诉人对教育部门的投诉处理决定不服或者逾期未作处理的，可以依法申请行政复议或者向人民法院提起行政诉讼。</w:t>
      </w:r>
    </w:p>
    <w:p>
      <w:pPr>
        <w:overflowPunct/>
        <w:adjustRightInd/>
        <w:snapToGrid/>
        <w:spacing w:line="560" w:lineRule="exact"/>
        <w:ind w:firstLine="640"/>
        <w:rPr>
          <w:szCs w:val="32"/>
          <w:u w:val="wave"/>
        </w:rPr>
      </w:pPr>
      <w:r>
        <w:rPr>
          <w:szCs w:val="32"/>
          <w:u w:val="wave"/>
        </w:rPr>
        <w:t>27.4 投诉人有下列行为之一的，属于严重失信行为，由所属设区市或县（市、区）</w:t>
      </w:r>
      <w:r>
        <w:rPr>
          <w:rFonts w:hint="eastAsia"/>
          <w:szCs w:val="32"/>
          <w:u w:val="wave"/>
        </w:rPr>
        <w:t>中小学食材招标工作组</w:t>
      </w:r>
      <w:r>
        <w:rPr>
          <w:szCs w:val="32"/>
          <w:u w:val="wave"/>
        </w:rPr>
        <w:t>研究通过后</w:t>
      </w:r>
      <w:r>
        <w:rPr>
          <w:rFonts w:hint="eastAsia"/>
          <w:szCs w:val="32"/>
          <w:u w:val="wave"/>
        </w:rPr>
        <w:t>取消其在设区市或省域范围内学校食材采购的投标资格。</w:t>
      </w:r>
    </w:p>
    <w:p>
      <w:pPr>
        <w:overflowPunct/>
        <w:adjustRightInd/>
        <w:snapToGrid/>
        <w:spacing w:line="560" w:lineRule="exact"/>
        <w:ind w:firstLine="640"/>
        <w:rPr>
          <w:szCs w:val="32"/>
          <w:u w:val="wave"/>
        </w:rPr>
      </w:pPr>
      <w:r>
        <w:rPr>
          <w:szCs w:val="32"/>
          <w:u w:val="wave"/>
        </w:rPr>
        <w:t>（1）投诉人在全国范围12个月内三次以上投诉查无实据的；</w:t>
      </w:r>
    </w:p>
    <w:p>
      <w:pPr>
        <w:overflowPunct/>
        <w:adjustRightInd/>
        <w:snapToGrid/>
        <w:spacing w:line="560" w:lineRule="exact"/>
        <w:ind w:firstLine="640"/>
        <w:rPr>
          <w:szCs w:val="32"/>
          <w:u w:val="wave"/>
        </w:rPr>
      </w:pPr>
      <w:r>
        <w:rPr>
          <w:szCs w:val="32"/>
          <w:u w:val="wave"/>
        </w:rPr>
        <w:t>（2）采用捏造事实、提供虚假材料或者以非法手段取得证明材料等方式进行虚假、恶意投诉。证据来源的合法性存在明显疑问，投诉人无法证明其取得方式合法的，视为以非法手段取得证明材料。</w:t>
      </w:r>
    </w:p>
    <w:p>
      <w:pPr>
        <w:overflowPunct/>
        <w:adjustRightInd/>
        <w:snapToGrid/>
        <w:spacing w:line="560" w:lineRule="exact"/>
        <w:ind w:firstLine="0" w:firstLineChars="0"/>
        <w:rPr>
          <w:szCs w:val="32"/>
        </w:rPr>
      </w:pPr>
      <w:r>
        <w:rPr>
          <w:szCs w:val="32"/>
        </w:rPr>
        <w:br w:type="page"/>
      </w:r>
    </w:p>
    <w:p>
      <w:pPr>
        <w:keepNext/>
        <w:keepLines/>
        <w:spacing w:before="340" w:after="330" w:line="560" w:lineRule="exact"/>
        <w:ind w:left="567" w:firstLine="0" w:firstLineChars="0"/>
        <w:jc w:val="center"/>
        <w:outlineLvl w:val="0"/>
        <w:rPr>
          <w:rFonts w:ascii="方正小标宋简体" w:hAnsi="方正小标宋简体" w:eastAsia="方正小标宋简体" w:cs="方正小标宋简体"/>
          <w:kern w:val="0"/>
          <w:sz w:val="44"/>
          <w:szCs w:val="44"/>
        </w:rPr>
      </w:pPr>
      <w:bookmarkStart w:id="86" w:name="_Toc8117"/>
      <w:r>
        <w:rPr>
          <w:rFonts w:hint="eastAsia" w:ascii="方正小标宋简体" w:hAnsi="方正小标宋简体" w:eastAsia="方正小标宋简体" w:cs="方正小标宋简体"/>
          <w:kern w:val="44"/>
          <w:sz w:val="44"/>
          <w:szCs w:val="44"/>
        </w:rPr>
        <w:t>第三章 评标标准</w:t>
      </w:r>
      <w:bookmarkEnd w:id="86"/>
    </w:p>
    <w:p>
      <w:pPr>
        <w:overflowPunct/>
        <w:adjustRightInd/>
        <w:snapToGrid/>
        <w:spacing w:line="560" w:lineRule="exact"/>
        <w:ind w:firstLine="640"/>
        <w:jc w:val="center"/>
        <w:outlineLvl w:val="1"/>
        <w:rPr>
          <w:rFonts w:ascii="方正小标宋简体" w:hAnsi="方正小标宋简体" w:eastAsia="方正小标宋简体" w:cs="方正小标宋简体"/>
          <w:bCs/>
          <w:kern w:val="0"/>
          <w:szCs w:val="32"/>
        </w:rPr>
      </w:pPr>
      <w:r>
        <w:rPr>
          <w:rFonts w:hint="eastAsia" w:ascii="方正小标宋简体" w:hAnsi="方正小标宋简体" w:eastAsia="方正小标宋简体" w:cs="方正小标宋简体"/>
          <w:bCs/>
          <w:kern w:val="0"/>
          <w:szCs w:val="32"/>
        </w:rPr>
        <w:t>“评标竞价”评分办法</w:t>
      </w:r>
    </w:p>
    <w:p>
      <w:pPr>
        <w:overflowPunct/>
        <w:adjustRightInd/>
        <w:snapToGrid/>
        <w:spacing w:line="560" w:lineRule="exact"/>
        <w:ind w:firstLine="640"/>
        <w:outlineLvl w:val="1"/>
        <w:rPr>
          <w:bCs/>
          <w:kern w:val="0"/>
          <w:szCs w:val="32"/>
        </w:rPr>
      </w:pPr>
    </w:p>
    <w:tbl>
      <w:tblPr>
        <w:tblStyle w:val="2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29"/>
        <w:gridCol w:w="657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序号</w:t>
            </w:r>
          </w:p>
        </w:tc>
        <w:tc>
          <w:tcPr>
            <w:tcW w:w="132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评分因素</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评</w:t>
            </w:r>
            <w:r>
              <w:rPr>
                <w:rFonts w:hint="eastAsia"/>
                <w:b/>
                <w:bCs/>
                <w:kern w:val="0"/>
                <w:sz w:val="21"/>
                <w:szCs w:val="21"/>
                <w:lang w:bidi="ar"/>
              </w:rPr>
              <w:t>分</w:t>
            </w:r>
            <w:r>
              <w:rPr>
                <w:b/>
                <w:bCs/>
                <w:kern w:val="0"/>
                <w:sz w:val="21"/>
                <w:szCs w:val="21"/>
                <w:lang w:bidi="ar"/>
              </w:rPr>
              <w:t>标准</w:t>
            </w:r>
          </w:p>
        </w:tc>
        <w:tc>
          <w:tcPr>
            <w:tcW w:w="85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1</w:t>
            </w:r>
          </w:p>
        </w:tc>
        <w:tc>
          <w:tcPr>
            <w:tcW w:w="132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价格</w:t>
            </w:r>
          </w:p>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50分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jc w:val="left"/>
              <w:textAlignment w:val="center"/>
              <w:rPr>
                <w:sz w:val="21"/>
                <w:szCs w:val="21"/>
                <w:u w:val="wave"/>
              </w:rPr>
            </w:pPr>
            <w:r>
              <w:rPr>
                <w:kern w:val="0"/>
                <w:sz w:val="21"/>
                <w:szCs w:val="21"/>
                <w:u w:val="wave"/>
                <w:lang w:bidi="ar"/>
              </w:rPr>
              <w:t>计算有效报价的算术平均值作为第一次基准价P1【当有效投标文件≥7家时，先剔除各报价中最高和最低的</w:t>
            </w:r>
            <w:r>
              <w:rPr>
                <w:rFonts w:hint="eastAsia"/>
                <w:kern w:val="0"/>
                <w:sz w:val="21"/>
                <w:szCs w:val="21"/>
                <w:u w:val="wave"/>
                <w:lang w:bidi="ar"/>
              </w:rPr>
              <w:t>1</w:t>
            </w:r>
            <w:r>
              <w:rPr>
                <w:kern w:val="0"/>
                <w:sz w:val="21"/>
                <w:szCs w:val="21"/>
                <w:u w:val="wave"/>
                <w:lang w:bidi="ar"/>
              </w:rPr>
              <w:t>0%（四舍五入取整）后进行算术平均；当有效投标文件4-6家时，剔除各报价中最高值后进行算术平均；当有效投标文件＜4家时，取各报价中的次低值】，取低于P1的有效报价计算第二次基准价P2，取P1与P2的平均值作为评标基准价P3。投标报价等于评标基准价P3的得50分；投标报价介于评标基准价P1和评标基准价P2之间的部分，每偏离评标基准价P3的1%扣1分；投标报价高于评标基准价P1或低于评标基准价P2的部分，每偏离基准价P3的1%扣1.5分，偏离不足1%的，用插入法计算。</w:t>
            </w:r>
            <w:r>
              <w:rPr>
                <w:kern w:val="0"/>
                <w:sz w:val="21"/>
                <w:szCs w:val="21"/>
                <w:u w:val="wave"/>
                <w:lang w:bidi="ar"/>
              </w:rPr>
              <w:br w:type="textWrapping"/>
            </w:r>
            <w:r>
              <w:rPr>
                <w:kern w:val="0"/>
                <w:sz w:val="21"/>
                <w:szCs w:val="21"/>
                <w:u w:val="wave"/>
                <w:lang w:bidi="ar"/>
              </w:rPr>
              <w:t>注：</w:t>
            </w:r>
            <w:r>
              <w:rPr>
                <w:kern w:val="0"/>
                <w:sz w:val="21"/>
                <w:szCs w:val="21"/>
                <w:u w:val="wave"/>
                <w:lang w:bidi="ar"/>
              </w:rPr>
              <w:br w:type="textWrapping"/>
            </w:r>
            <w:r>
              <w:rPr>
                <w:kern w:val="0"/>
                <w:sz w:val="21"/>
                <w:szCs w:val="21"/>
                <w:u w:val="wave"/>
                <w:lang w:bidi="ar"/>
              </w:rPr>
              <w:t>（1）有效投标文件是指未被评标委员会评定为无效标的投标文件。</w:t>
            </w:r>
            <w:r>
              <w:rPr>
                <w:kern w:val="0"/>
                <w:sz w:val="21"/>
                <w:szCs w:val="21"/>
                <w:u w:val="wave"/>
                <w:lang w:bidi="ar"/>
              </w:rPr>
              <w:br w:type="textWrapping"/>
            </w:r>
            <w:r>
              <w:rPr>
                <w:kern w:val="0"/>
                <w:sz w:val="21"/>
                <w:szCs w:val="21"/>
                <w:u w:val="wave"/>
                <w:lang w:bidi="ar"/>
              </w:rPr>
              <w:t>（2）评标委员会在评审过程中，发现投标人的报价明显低于其他投标报价，使得其投标报价可能低于其个别成本的，应当要求该投标当事人作出书面说明并提供相关证明材料。投标人不能合理说明或者不能提供相关证明材料的，由评委委员会认定该投标人低于成本价竞标，应当否决其投标。</w:t>
            </w:r>
            <w:r>
              <w:rPr>
                <w:kern w:val="0"/>
                <w:sz w:val="21"/>
                <w:szCs w:val="21"/>
                <w:u w:val="wave"/>
                <w:lang w:bidi="ar"/>
              </w:rPr>
              <w:br w:type="textWrapping"/>
            </w:r>
            <w:r>
              <w:rPr>
                <w:kern w:val="0"/>
                <w:sz w:val="21"/>
                <w:szCs w:val="21"/>
                <w:u w:val="wave"/>
                <w:lang w:bidi="ar"/>
              </w:rPr>
              <w:t>（3）评标后基准价调整方式：不因任何情形而改变。</w:t>
            </w:r>
          </w:p>
        </w:tc>
        <w:tc>
          <w:tcPr>
            <w:tcW w:w="85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 xml:space="preserve">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2</w:t>
            </w:r>
          </w:p>
        </w:tc>
        <w:tc>
          <w:tcPr>
            <w:tcW w:w="132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食材品质</w:t>
            </w:r>
          </w:p>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10分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jc w:val="left"/>
              <w:textAlignment w:val="center"/>
              <w:rPr>
                <w:kern w:val="0"/>
                <w:sz w:val="21"/>
                <w:szCs w:val="21"/>
                <w:lang w:bidi="ar"/>
              </w:rPr>
            </w:pPr>
            <w:r>
              <w:rPr>
                <w:kern w:val="0"/>
                <w:sz w:val="21"/>
                <w:szCs w:val="21"/>
                <w:lang w:bidi="ar"/>
              </w:rPr>
              <w:t>评委根据投标人针对学校食材采购要求，提供相关食材品质的保障及证明材料，材料中包括但不限于“中国驰名商标</w:t>
            </w:r>
            <w:r>
              <w:rPr>
                <w:rFonts w:hint="eastAsia"/>
                <w:kern w:val="0"/>
                <w:sz w:val="21"/>
                <w:szCs w:val="21"/>
                <w:lang w:bidi="ar"/>
              </w:rPr>
              <w:t>”“</w:t>
            </w:r>
            <w:r>
              <w:rPr>
                <w:kern w:val="0"/>
                <w:sz w:val="21"/>
                <w:szCs w:val="21"/>
                <w:lang w:bidi="ar"/>
              </w:rPr>
              <w:t>绿色食品</w:t>
            </w:r>
            <w:r>
              <w:rPr>
                <w:rFonts w:hint="eastAsia"/>
                <w:kern w:val="0"/>
                <w:sz w:val="21"/>
                <w:szCs w:val="21"/>
                <w:lang w:bidi="ar"/>
              </w:rPr>
              <w:t>”“</w:t>
            </w:r>
            <w:r>
              <w:rPr>
                <w:kern w:val="0"/>
                <w:sz w:val="21"/>
                <w:szCs w:val="21"/>
                <w:lang w:bidi="ar"/>
              </w:rPr>
              <w:t>有机食品</w:t>
            </w:r>
            <w:r>
              <w:rPr>
                <w:rFonts w:hint="eastAsia"/>
                <w:kern w:val="0"/>
                <w:sz w:val="21"/>
                <w:szCs w:val="21"/>
                <w:lang w:bidi="ar"/>
              </w:rPr>
              <w:t>”</w:t>
            </w:r>
            <w:r>
              <w:rPr>
                <w:kern w:val="0"/>
                <w:sz w:val="21"/>
                <w:szCs w:val="21"/>
                <w:lang w:bidi="ar"/>
              </w:rPr>
              <w:t>等国家级认证、产品溯源体系、产品品牌信息等各项因素综合评分：</w:t>
            </w:r>
          </w:p>
          <w:p>
            <w:pPr>
              <w:overflowPunct/>
              <w:adjustRightInd/>
              <w:snapToGrid/>
              <w:spacing w:line="360" w:lineRule="exact"/>
              <w:ind w:firstLine="0" w:firstLineChars="0"/>
              <w:jc w:val="left"/>
              <w:textAlignment w:val="center"/>
              <w:rPr>
                <w:kern w:val="0"/>
                <w:sz w:val="21"/>
                <w:szCs w:val="21"/>
                <w:lang w:bidi="ar"/>
              </w:rPr>
            </w:pPr>
            <w:r>
              <w:rPr>
                <w:kern w:val="0"/>
                <w:sz w:val="21"/>
                <w:szCs w:val="21"/>
                <w:lang w:bidi="ar"/>
              </w:rPr>
              <w:t>产品综合质量好、产品溯源体系清晰，产品品牌知名、产品认证完备且能够切实保证服务质量的得10分；</w:t>
            </w:r>
          </w:p>
          <w:p>
            <w:pPr>
              <w:overflowPunct/>
              <w:adjustRightInd/>
              <w:snapToGrid/>
              <w:spacing w:line="360" w:lineRule="exact"/>
              <w:ind w:firstLine="0" w:firstLineChars="0"/>
              <w:jc w:val="left"/>
              <w:textAlignment w:val="center"/>
              <w:rPr>
                <w:kern w:val="0"/>
                <w:sz w:val="21"/>
                <w:szCs w:val="21"/>
                <w:lang w:bidi="ar"/>
              </w:rPr>
            </w:pPr>
            <w:r>
              <w:rPr>
                <w:kern w:val="0"/>
                <w:sz w:val="21"/>
                <w:szCs w:val="21"/>
                <w:lang w:bidi="ar"/>
              </w:rPr>
              <w:t>产品质量一般、产品溯源体系基本完整，主要环节信息齐全，产品品牌为大众熟知的得7分；</w:t>
            </w:r>
          </w:p>
          <w:p>
            <w:pPr>
              <w:overflowPunct/>
              <w:adjustRightInd/>
              <w:snapToGrid/>
              <w:spacing w:line="360" w:lineRule="exact"/>
              <w:ind w:firstLine="0" w:firstLineChars="0"/>
              <w:jc w:val="left"/>
              <w:textAlignment w:val="center"/>
              <w:rPr>
                <w:kern w:val="0"/>
                <w:sz w:val="21"/>
                <w:szCs w:val="21"/>
                <w:lang w:bidi="ar"/>
              </w:rPr>
            </w:pPr>
            <w:r>
              <w:rPr>
                <w:kern w:val="0"/>
                <w:sz w:val="21"/>
                <w:szCs w:val="21"/>
                <w:lang w:bidi="ar"/>
              </w:rPr>
              <w:t>产品质量基本达标、产品溯源体系中部分环节记录缺失或不规范，产品品牌有一定认知度，但范围有限的得4分；</w:t>
            </w:r>
          </w:p>
          <w:p>
            <w:pPr>
              <w:overflowPunct/>
              <w:adjustRightInd/>
              <w:snapToGrid/>
              <w:spacing w:line="360" w:lineRule="exact"/>
              <w:ind w:firstLine="0" w:firstLineChars="0"/>
              <w:jc w:val="left"/>
              <w:textAlignment w:val="center"/>
              <w:rPr>
                <w:kern w:val="0"/>
                <w:sz w:val="21"/>
                <w:szCs w:val="21"/>
                <w:lang w:bidi="ar"/>
              </w:rPr>
            </w:pPr>
            <w:r>
              <w:rPr>
                <w:kern w:val="0"/>
                <w:sz w:val="21"/>
                <w:szCs w:val="21"/>
                <w:lang w:bidi="ar"/>
              </w:rPr>
              <w:t>产品质量欠佳、产品溯源体系模糊，产品品牌无相关认证的得1分；</w:t>
            </w:r>
          </w:p>
          <w:p>
            <w:pPr>
              <w:overflowPunct/>
              <w:adjustRightInd/>
              <w:snapToGrid/>
              <w:spacing w:line="360" w:lineRule="exact"/>
              <w:ind w:firstLine="0" w:firstLineChars="0"/>
              <w:jc w:val="left"/>
              <w:textAlignment w:val="center"/>
              <w:rPr>
                <w:sz w:val="21"/>
                <w:szCs w:val="21"/>
                <w:u w:val="wave"/>
              </w:rPr>
            </w:pPr>
            <w:r>
              <w:rPr>
                <w:kern w:val="0"/>
                <w:sz w:val="21"/>
                <w:szCs w:val="21"/>
                <w:lang w:bidi="ar"/>
              </w:rPr>
              <w:t>未提供方案的不得分。</w:t>
            </w:r>
          </w:p>
        </w:tc>
        <w:tc>
          <w:tcPr>
            <w:tcW w:w="85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3.1</w:t>
            </w:r>
          </w:p>
        </w:tc>
        <w:tc>
          <w:tcPr>
            <w:tcW w:w="1329" w:type="dxa"/>
            <w:vMerge w:val="restart"/>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服务方案</w:t>
            </w:r>
            <w:r>
              <w:rPr>
                <w:b/>
                <w:bCs/>
                <w:kern w:val="0"/>
                <w:sz w:val="21"/>
                <w:szCs w:val="21"/>
                <w:lang w:bidi="ar"/>
              </w:rPr>
              <w:br w:type="textWrapping"/>
            </w:r>
            <w:r>
              <w:rPr>
                <w:b/>
                <w:bCs/>
                <w:kern w:val="0"/>
                <w:sz w:val="21"/>
                <w:szCs w:val="21"/>
                <w:lang w:bidi="ar"/>
              </w:rPr>
              <w:t>9分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lang w:bidi="ar"/>
              </w:rPr>
            </w:pPr>
            <w:r>
              <w:rPr>
                <w:b/>
                <w:bCs/>
                <w:kern w:val="0"/>
                <w:sz w:val="21"/>
                <w:szCs w:val="21"/>
                <w:lang w:bidi="ar"/>
              </w:rPr>
              <w:t>供货服务方案：</w:t>
            </w:r>
            <w:r>
              <w:rPr>
                <w:kern w:val="0"/>
                <w:sz w:val="21"/>
                <w:szCs w:val="21"/>
                <w:lang w:bidi="ar"/>
              </w:rPr>
              <w:t>评委根据投标人针对学校食材采购要求，制定科学、合理、优质的供货服务方案，供货服务方案中包括但不限于车辆配置、人员安排、服务流程、应急处置、特色服务、安全保障、质量保障等各项因素综合评分：</w:t>
            </w:r>
          </w:p>
          <w:p>
            <w:pPr>
              <w:overflowPunct/>
              <w:adjustRightInd/>
              <w:snapToGrid/>
              <w:spacing w:line="360" w:lineRule="exact"/>
              <w:ind w:firstLine="0" w:firstLineChars="0"/>
              <w:textAlignment w:val="center"/>
              <w:rPr>
                <w:kern w:val="0"/>
                <w:sz w:val="21"/>
                <w:szCs w:val="21"/>
                <w:lang w:bidi="ar"/>
              </w:rPr>
            </w:pPr>
            <w:r>
              <w:rPr>
                <w:kern w:val="0"/>
                <w:sz w:val="21"/>
                <w:szCs w:val="21"/>
                <w:lang w:bidi="ar"/>
              </w:rPr>
              <w:t>方案全面合理、可操作性强且能够切实保证服务质量的得3分；</w:t>
            </w:r>
          </w:p>
          <w:p>
            <w:pPr>
              <w:overflowPunct/>
              <w:adjustRightInd/>
              <w:snapToGrid/>
              <w:spacing w:line="360" w:lineRule="exact"/>
              <w:ind w:firstLine="0" w:firstLineChars="0"/>
              <w:textAlignment w:val="center"/>
              <w:rPr>
                <w:kern w:val="0"/>
                <w:sz w:val="21"/>
                <w:szCs w:val="21"/>
                <w:lang w:bidi="ar"/>
              </w:rPr>
            </w:pPr>
            <w:r>
              <w:rPr>
                <w:kern w:val="0"/>
                <w:sz w:val="21"/>
                <w:szCs w:val="21"/>
                <w:lang w:bidi="ar"/>
              </w:rPr>
              <w:t>方案齐全、具有实际可操作性的得2分；</w:t>
            </w:r>
          </w:p>
          <w:p>
            <w:pPr>
              <w:overflowPunct/>
              <w:adjustRightInd/>
              <w:snapToGrid/>
              <w:spacing w:line="360" w:lineRule="exact"/>
              <w:ind w:firstLine="0" w:firstLineChars="0"/>
              <w:textAlignment w:val="center"/>
              <w:rPr>
                <w:kern w:val="0"/>
                <w:sz w:val="21"/>
                <w:szCs w:val="21"/>
                <w:lang w:bidi="ar"/>
              </w:rPr>
            </w:pPr>
            <w:r>
              <w:rPr>
                <w:kern w:val="0"/>
                <w:sz w:val="21"/>
                <w:szCs w:val="21"/>
                <w:lang w:bidi="ar"/>
              </w:rPr>
              <w:t>方案有欠缺、条理不清晰的得1分；</w:t>
            </w:r>
          </w:p>
          <w:p>
            <w:pPr>
              <w:overflowPunct/>
              <w:adjustRightInd/>
              <w:snapToGrid/>
              <w:spacing w:line="360" w:lineRule="exact"/>
              <w:ind w:firstLine="0" w:firstLineChars="0"/>
              <w:textAlignment w:val="center"/>
              <w:rPr>
                <w:kern w:val="0"/>
                <w:sz w:val="21"/>
                <w:szCs w:val="21"/>
              </w:rPr>
            </w:pPr>
            <w:r>
              <w:rPr>
                <w:kern w:val="0"/>
                <w:sz w:val="21"/>
                <w:szCs w:val="21"/>
                <w:lang w:bidi="ar"/>
              </w:rPr>
              <w:t>未提供方案的不得分。</w:t>
            </w:r>
          </w:p>
        </w:tc>
        <w:tc>
          <w:tcPr>
            <w:tcW w:w="859" w:type="dxa"/>
            <w:tcBorders>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3.2</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rPr>
            </w:pPr>
            <w:r>
              <w:rPr>
                <w:b/>
                <w:bCs/>
                <w:kern w:val="0"/>
                <w:sz w:val="21"/>
                <w:szCs w:val="21"/>
                <w:lang w:bidi="ar"/>
              </w:rPr>
              <w:t>配送管理方案：</w:t>
            </w:r>
            <w:r>
              <w:rPr>
                <w:kern w:val="0"/>
                <w:sz w:val="21"/>
                <w:szCs w:val="21"/>
                <w:lang w:bidi="ar"/>
              </w:rPr>
              <w:t>评委根据投标人提供的商品配送管理方案（包括但不限于配送能力、服务流程、特色服务、库存不足解决方案</w:t>
            </w:r>
            <w:r>
              <w:rPr>
                <w:rFonts w:hint="eastAsia"/>
                <w:kern w:val="0"/>
                <w:sz w:val="21"/>
                <w:szCs w:val="21"/>
                <w:lang w:bidi="ar"/>
              </w:rPr>
              <w:t>，以及</w:t>
            </w:r>
            <w:r>
              <w:rPr>
                <w:kern w:val="0"/>
                <w:sz w:val="21"/>
                <w:szCs w:val="21"/>
                <w:lang w:bidi="ar"/>
              </w:rPr>
              <w:t>配送过程中安全保障措施等）进行综合评分：</w:t>
            </w:r>
            <w:r>
              <w:rPr>
                <w:kern w:val="0"/>
                <w:sz w:val="21"/>
                <w:szCs w:val="21"/>
                <w:lang w:bidi="ar"/>
              </w:rPr>
              <w:br w:type="textWrapping"/>
            </w:r>
            <w:r>
              <w:rPr>
                <w:kern w:val="0"/>
                <w:sz w:val="21"/>
                <w:szCs w:val="21"/>
                <w:lang w:bidi="ar"/>
              </w:rPr>
              <w:t>方案全面合理、可操作性强且能够保证每日及时送货的得3分；</w:t>
            </w:r>
            <w:r>
              <w:rPr>
                <w:kern w:val="0"/>
                <w:sz w:val="21"/>
                <w:szCs w:val="21"/>
                <w:lang w:bidi="ar"/>
              </w:rPr>
              <w:br w:type="textWrapping"/>
            </w:r>
            <w:r>
              <w:rPr>
                <w:kern w:val="0"/>
                <w:sz w:val="21"/>
                <w:szCs w:val="21"/>
                <w:lang w:bidi="ar"/>
              </w:rPr>
              <w:t>方案齐全、具有实际可操作性的得2分；</w:t>
            </w:r>
            <w:r>
              <w:rPr>
                <w:kern w:val="0"/>
                <w:sz w:val="21"/>
                <w:szCs w:val="21"/>
                <w:lang w:bidi="ar"/>
              </w:rPr>
              <w:br w:type="textWrapping"/>
            </w:r>
            <w:r>
              <w:rPr>
                <w:kern w:val="0"/>
                <w:sz w:val="21"/>
                <w:szCs w:val="21"/>
                <w:lang w:bidi="ar"/>
              </w:rPr>
              <w:t>方案有欠缺、条理不清晰的得1分；</w:t>
            </w:r>
            <w:r>
              <w:rPr>
                <w:kern w:val="0"/>
                <w:sz w:val="21"/>
                <w:szCs w:val="21"/>
                <w:lang w:bidi="ar"/>
              </w:rPr>
              <w:br w:type="textWrapping"/>
            </w:r>
            <w:r>
              <w:rPr>
                <w:kern w:val="0"/>
                <w:sz w:val="21"/>
                <w:szCs w:val="21"/>
                <w:lang w:bidi="ar"/>
              </w:rPr>
              <w:t>未提供方案的不得分。</w:t>
            </w:r>
          </w:p>
        </w:tc>
        <w:tc>
          <w:tcPr>
            <w:tcW w:w="859" w:type="dxa"/>
            <w:tcBorders>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3.3</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jc w:val="left"/>
              <w:textAlignment w:val="center"/>
              <w:rPr>
                <w:kern w:val="0"/>
                <w:sz w:val="21"/>
                <w:szCs w:val="21"/>
                <w:lang w:bidi="ar"/>
              </w:rPr>
            </w:pPr>
            <w:r>
              <w:rPr>
                <w:b/>
                <w:bCs/>
                <w:kern w:val="0"/>
                <w:sz w:val="21"/>
                <w:szCs w:val="21"/>
                <w:lang w:bidi="ar"/>
              </w:rPr>
              <w:t>采购渠道方案：</w:t>
            </w:r>
            <w:r>
              <w:rPr>
                <w:kern w:val="0"/>
                <w:sz w:val="21"/>
                <w:szCs w:val="21"/>
                <w:lang w:bidi="ar"/>
              </w:rPr>
              <w:t>评委根据投标人提供的供货渠道（可提供产品来源渠道说明或证明、产品品牌质量或经销资质、进货发票或合同等相关证明材料）进行综合评分：</w:t>
            </w:r>
            <w:r>
              <w:rPr>
                <w:kern w:val="0"/>
                <w:sz w:val="21"/>
                <w:szCs w:val="21"/>
                <w:lang w:bidi="ar"/>
              </w:rPr>
              <w:br w:type="textWrapping"/>
            </w:r>
            <w:r>
              <w:rPr>
                <w:kern w:val="0"/>
                <w:sz w:val="21"/>
                <w:szCs w:val="21"/>
                <w:lang w:bidi="ar"/>
              </w:rPr>
              <w:t>所供货品具有可追溯性供货渠道正规，供货渠道能够保证货品质量较优的得3分；</w:t>
            </w:r>
            <w:r>
              <w:rPr>
                <w:kern w:val="0"/>
                <w:sz w:val="21"/>
                <w:szCs w:val="21"/>
                <w:lang w:bidi="ar"/>
              </w:rPr>
              <w:br w:type="textWrapping"/>
            </w:r>
            <w:r>
              <w:rPr>
                <w:kern w:val="0"/>
                <w:sz w:val="21"/>
                <w:szCs w:val="21"/>
                <w:lang w:bidi="ar"/>
              </w:rPr>
              <w:t>供货渠道正规，质量符合采购要求得2分；</w:t>
            </w:r>
            <w:r>
              <w:rPr>
                <w:kern w:val="0"/>
                <w:sz w:val="21"/>
                <w:szCs w:val="21"/>
                <w:lang w:bidi="ar"/>
              </w:rPr>
              <w:br w:type="textWrapping"/>
            </w:r>
            <w:r>
              <w:rPr>
                <w:kern w:val="0"/>
                <w:sz w:val="21"/>
                <w:szCs w:val="21"/>
                <w:lang w:bidi="ar"/>
              </w:rPr>
              <w:t>供货渠道不清晰，质量基本符合采购要求得1分；</w:t>
            </w:r>
          </w:p>
          <w:p>
            <w:pPr>
              <w:overflowPunct/>
              <w:adjustRightInd/>
              <w:snapToGrid/>
              <w:spacing w:line="360" w:lineRule="exact"/>
              <w:ind w:firstLine="0" w:firstLineChars="0"/>
              <w:jc w:val="left"/>
              <w:textAlignment w:val="center"/>
              <w:rPr>
                <w:kern w:val="0"/>
                <w:sz w:val="21"/>
                <w:szCs w:val="21"/>
              </w:rPr>
            </w:pPr>
            <w:r>
              <w:rPr>
                <w:kern w:val="0"/>
                <w:sz w:val="21"/>
                <w:szCs w:val="21"/>
                <w:lang w:bidi="ar"/>
              </w:rPr>
              <w:t>未提供不得分。</w:t>
            </w:r>
          </w:p>
        </w:tc>
        <w:tc>
          <w:tcPr>
            <w:tcW w:w="859" w:type="dxa"/>
            <w:tcBorders>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4.1</w:t>
            </w:r>
          </w:p>
        </w:tc>
        <w:tc>
          <w:tcPr>
            <w:tcW w:w="1329" w:type="dxa"/>
            <w:vMerge w:val="restart"/>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企业实力</w:t>
            </w:r>
            <w:r>
              <w:rPr>
                <w:b/>
                <w:bCs/>
                <w:kern w:val="0"/>
                <w:sz w:val="21"/>
                <w:szCs w:val="21"/>
                <w:lang w:bidi="ar"/>
              </w:rPr>
              <w:br w:type="textWrapping"/>
            </w:r>
            <w:r>
              <w:rPr>
                <w:b/>
                <w:bCs/>
                <w:kern w:val="0"/>
                <w:sz w:val="21"/>
                <w:szCs w:val="21"/>
                <w:lang w:bidi="ar"/>
              </w:rPr>
              <w:t>16分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rPr>
            </w:pPr>
            <w:r>
              <w:rPr>
                <w:b/>
                <w:bCs/>
                <w:kern w:val="0"/>
                <w:sz w:val="21"/>
                <w:szCs w:val="21"/>
                <w:lang w:bidi="ar"/>
              </w:rPr>
              <w:t>配送能力：</w:t>
            </w:r>
            <w:r>
              <w:rPr>
                <w:kern w:val="0"/>
                <w:sz w:val="21"/>
                <w:szCs w:val="21"/>
                <w:lang w:bidi="ar"/>
              </w:rPr>
              <w:t>投标人提供可用于货物配送的自有配送车辆证明，</w:t>
            </w:r>
            <w:r>
              <w:rPr>
                <w:b/>
                <w:bCs/>
                <w:kern w:val="0"/>
                <w:sz w:val="21"/>
                <w:szCs w:val="21"/>
                <w:lang w:bidi="ar"/>
              </w:rPr>
              <w:t>（根据标段需求车辆设为厢式货车或</w:t>
            </w:r>
            <w:r>
              <w:rPr>
                <w:b/>
                <w:bCs/>
                <w:kern w:val="0"/>
                <w:sz w:val="21"/>
                <w:szCs w:val="21"/>
              </w:rPr>
              <w:t>冷链运输厢式货车</w:t>
            </w:r>
            <w:r>
              <w:rPr>
                <w:b/>
                <w:bCs/>
                <w:kern w:val="0"/>
                <w:sz w:val="21"/>
                <w:szCs w:val="21"/>
                <w:lang w:bidi="ar"/>
              </w:rPr>
              <w:t>）</w:t>
            </w:r>
            <w:r>
              <w:rPr>
                <w:kern w:val="0"/>
                <w:sz w:val="21"/>
                <w:szCs w:val="21"/>
                <w:lang w:bidi="ar"/>
              </w:rPr>
              <w:t>，超过1辆车后每多提供1辆得*分，本项最高得4分。（本项从第二辆车辆开始计分，车辆数量≤1辆不得分）</w:t>
            </w:r>
            <w:r>
              <w:rPr>
                <w:kern w:val="0"/>
                <w:sz w:val="21"/>
                <w:szCs w:val="21"/>
                <w:lang w:bidi="ar"/>
              </w:rPr>
              <w:br w:type="textWrapping"/>
            </w:r>
            <w:r>
              <w:rPr>
                <w:kern w:val="0"/>
                <w:sz w:val="21"/>
                <w:szCs w:val="21"/>
                <w:lang w:bidi="ar"/>
              </w:rPr>
              <w:t>注：须提供未遮挡号牌的车辆照片（车辆前、后及</w:t>
            </w:r>
            <w:r>
              <w:rPr>
                <w:rFonts w:hint="eastAsia"/>
                <w:kern w:val="0"/>
                <w:sz w:val="21"/>
                <w:szCs w:val="21"/>
                <w:lang w:bidi="ar"/>
              </w:rPr>
              <w:t>车厢内</w:t>
            </w:r>
            <w:r>
              <w:rPr>
                <w:kern w:val="0"/>
                <w:sz w:val="21"/>
                <w:szCs w:val="21"/>
                <w:lang w:bidi="ar"/>
              </w:rPr>
              <w:t>等三张）、购买发票或合同、有效的行驶证复印件并加盖公章，上述内容缺一不可，未提供或未按要求提供本项不得分（车辆所有人必须为投标人）；</w:t>
            </w:r>
            <w:r>
              <w:rPr>
                <w:kern w:val="0"/>
                <w:sz w:val="21"/>
                <w:szCs w:val="21"/>
                <w:lang w:bidi="ar"/>
              </w:rPr>
              <w:br w:type="textWrapping"/>
            </w:r>
            <w:r>
              <w:rPr>
                <w:b/>
                <w:bCs/>
                <w:kern w:val="0"/>
                <w:sz w:val="21"/>
                <w:szCs w:val="21"/>
                <w:lang w:bidi="ar"/>
              </w:rPr>
              <w:t>注：此项内容根据配送学校的实际情况确定数量，数量应合理适当，不得过高要求。发布文件时请将此条注意事项删除。</w:t>
            </w:r>
          </w:p>
        </w:tc>
        <w:tc>
          <w:tcPr>
            <w:tcW w:w="859" w:type="dxa"/>
            <w:tcBorders>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4.2</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rPr>
            </w:pPr>
            <w:r>
              <w:rPr>
                <w:kern w:val="0"/>
                <w:sz w:val="21"/>
                <w:szCs w:val="21"/>
                <w:lang w:bidi="ar"/>
              </w:rPr>
              <w:t>配送能力中的</w:t>
            </w:r>
            <w:r>
              <w:rPr>
                <w:rFonts w:hint="eastAsia"/>
                <w:kern w:val="0"/>
                <w:sz w:val="21"/>
                <w:szCs w:val="21"/>
                <w:lang w:bidi="ar"/>
              </w:rPr>
              <w:t>车辆</w:t>
            </w:r>
            <w:r>
              <w:rPr>
                <w:kern w:val="0"/>
                <w:sz w:val="21"/>
                <w:szCs w:val="21"/>
                <w:lang w:bidi="ar"/>
              </w:rPr>
              <w:t>装有定位系统和车厢内部视频监控并实现联网，每有1辆车得0.5分，本项最高得1分。</w:t>
            </w:r>
            <w:r>
              <w:rPr>
                <w:kern w:val="0"/>
                <w:sz w:val="21"/>
                <w:szCs w:val="21"/>
                <w:lang w:bidi="ar"/>
              </w:rPr>
              <w:br w:type="textWrapping"/>
            </w:r>
            <w:r>
              <w:rPr>
                <w:kern w:val="0"/>
                <w:sz w:val="21"/>
                <w:szCs w:val="21"/>
                <w:lang w:bidi="ar"/>
              </w:rPr>
              <w:t>（提供相关证明材料和相关照片并加盖公章）</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4.3</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lang w:bidi="ar"/>
              </w:rPr>
            </w:pPr>
            <w:r>
              <w:rPr>
                <w:b/>
                <w:bCs/>
                <w:kern w:val="0"/>
                <w:sz w:val="21"/>
                <w:szCs w:val="21"/>
                <w:lang w:bidi="ar"/>
              </w:rPr>
              <w:t>人员配置：</w:t>
            </w:r>
            <w:r>
              <w:rPr>
                <w:kern w:val="0"/>
                <w:sz w:val="21"/>
                <w:szCs w:val="21"/>
                <w:lang w:bidi="ar"/>
              </w:rPr>
              <w:t>投标人提供完整的人员配置清单（人员均</w:t>
            </w:r>
            <w:r>
              <w:rPr>
                <w:rFonts w:hint="eastAsia"/>
                <w:kern w:val="0"/>
                <w:sz w:val="21"/>
                <w:szCs w:val="21"/>
                <w:lang w:eastAsia="zh-CN" w:bidi="ar"/>
              </w:rPr>
              <w:t>须</w:t>
            </w:r>
            <w:r>
              <w:rPr>
                <w:kern w:val="0"/>
                <w:sz w:val="21"/>
                <w:szCs w:val="21"/>
                <w:lang w:bidi="ar"/>
              </w:rPr>
              <w:t>具有健康证）。</w:t>
            </w:r>
            <w:r>
              <w:rPr>
                <w:kern w:val="0"/>
                <w:sz w:val="21"/>
                <w:szCs w:val="21"/>
                <w:lang w:bidi="ar"/>
              </w:rPr>
              <w:br w:type="textWrapping"/>
            </w:r>
            <w:r>
              <w:rPr>
                <w:kern w:val="0"/>
                <w:sz w:val="21"/>
                <w:szCs w:val="21"/>
                <w:lang w:bidi="ar"/>
              </w:rPr>
              <w:t>人员配置数量在**人及以上的得3分；</w:t>
            </w:r>
            <w:r>
              <w:rPr>
                <w:kern w:val="0"/>
                <w:sz w:val="21"/>
                <w:szCs w:val="21"/>
                <w:lang w:bidi="ar"/>
              </w:rPr>
              <w:br w:type="textWrapping"/>
            </w:r>
            <w:r>
              <w:rPr>
                <w:kern w:val="0"/>
                <w:sz w:val="21"/>
                <w:szCs w:val="21"/>
                <w:lang w:bidi="ar"/>
              </w:rPr>
              <w:t>人员配置</w:t>
            </w:r>
            <w:r>
              <w:rPr>
                <w:rFonts w:hint="eastAsia"/>
                <w:kern w:val="0"/>
                <w:sz w:val="21"/>
                <w:szCs w:val="21"/>
                <w:lang w:bidi="ar"/>
              </w:rPr>
              <w:t>数量</w:t>
            </w:r>
            <w:r>
              <w:rPr>
                <w:kern w:val="0"/>
                <w:sz w:val="21"/>
                <w:szCs w:val="21"/>
                <w:lang w:bidi="ar"/>
              </w:rPr>
              <w:t>在**-**人的得2分；</w:t>
            </w:r>
          </w:p>
          <w:p>
            <w:pPr>
              <w:overflowPunct/>
              <w:adjustRightInd/>
              <w:snapToGrid/>
              <w:spacing w:line="360" w:lineRule="exact"/>
              <w:ind w:firstLine="0" w:firstLineChars="0"/>
              <w:textAlignment w:val="center"/>
              <w:rPr>
                <w:kern w:val="0"/>
                <w:sz w:val="21"/>
                <w:szCs w:val="21"/>
                <w:lang w:bidi="ar"/>
              </w:rPr>
            </w:pPr>
            <w:r>
              <w:rPr>
                <w:kern w:val="0"/>
                <w:sz w:val="21"/>
                <w:szCs w:val="21"/>
                <w:lang w:bidi="ar"/>
              </w:rPr>
              <w:t>人员配置梳理在**-**人的得1分；</w:t>
            </w:r>
            <w:r>
              <w:rPr>
                <w:kern w:val="0"/>
                <w:sz w:val="21"/>
                <w:szCs w:val="21"/>
                <w:lang w:bidi="ar"/>
              </w:rPr>
              <w:br w:type="textWrapping"/>
            </w:r>
            <w:r>
              <w:rPr>
                <w:kern w:val="0"/>
                <w:sz w:val="21"/>
                <w:szCs w:val="21"/>
                <w:lang w:bidi="ar"/>
              </w:rPr>
              <w:t>人员配置梳理在3人及以下或未提供人员配置清单的不得分。</w:t>
            </w:r>
          </w:p>
          <w:p>
            <w:pPr>
              <w:overflowPunct/>
              <w:adjustRightInd/>
              <w:snapToGrid/>
              <w:spacing w:line="360" w:lineRule="exact"/>
              <w:ind w:firstLine="0" w:firstLineChars="0"/>
              <w:textAlignment w:val="center"/>
              <w:rPr>
                <w:kern w:val="0"/>
                <w:sz w:val="21"/>
                <w:szCs w:val="21"/>
                <w:lang w:bidi="ar"/>
              </w:rPr>
            </w:pPr>
            <w:r>
              <w:rPr>
                <w:kern w:val="0"/>
                <w:sz w:val="21"/>
                <w:szCs w:val="21"/>
                <w:lang w:bidi="ar"/>
              </w:rPr>
              <w:t>本项最高得3分。</w:t>
            </w:r>
            <w:r>
              <w:rPr>
                <w:kern w:val="0"/>
                <w:sz w:val="21"/>
                <w:szCs w:val="21"/>
                <w:lang w:bidi="ar"/>
              </w:rPr>
              <w:br w:type="textWrapping"/>
            </w:r>
            <w:r>
              <w:rPr>
                <w:kern w:val="0"/>
                <w:sz w:val="21"/>
                <w:szCs w:val="21"/>
                <w:lang w:bidi="ar"/>
              </w:rPr>
              <w:t>（提供社保机构出具的近三个月的任意一个月为配置人员缴纳的社会保险缴费证明材料复印件并加盖公章）</w:t>
            </w:r>
          </w:p>
          <w:p>
            <w:pPr>
              <w:overflowPunct/>
              <w:adjustRightInd/>
              <w:snapToGrid/>
              <w:spacing w:line="360" w:lineRule="exact"/>
              <w:ind w:firstLine="0" w:firstLineChars="0"/>
              <w:textAlignment w:val="center"/>
              <w:rPr>
                <w:kern w:val="0"/>
                <w:sz w:val="21"/>
                <w:szCs w:val="21"/>
                <w:lang w:bidi="ar"/>
              </w:rPr>
            </w:pPr>
            <w:r>
              <w:rPr>
                <w:b/>
                <w:bCs/>
                <w:kern w:val="0"/>
                <w:sz w:val="21"/>
                <w:szCs w:val="21"/>
                <w:lang w:bidi="ar"/>
              </w:rPr>
              <w:t>注：此项内容根据配送学校的实际情况确定数量，数量应合理适当，不得过高要求。发布文件时请将此条注意事项删除。</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4.4</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sz w:val="21"/>
                <w:szCs w:val="21"/>
              </w:rPr>
            </w:pPr>
            <w:r>
              <w:rPr>
                <w:b/>
                <w:bCs/>
                <w:kern w:val="0"/>
                <w:sz w:val="21"/>
                <w:szCs w:val="21"/>
                <w:lang w:bidi="ar"/>
              </w:rPr>
              <w:t>仓储能力</w:t>
            </w:r>
            <w:r>
              <w:rPr>
                <w:kern w:val="0"/>
                <w:sz w:val="21"/>
                <w:szCs w:val="21"/>
                <w:lang w:bidi="ar"/>
              </w:rPr>
              <w:t>：投标人提供的自有仓库（冷库）或租赁仓库（冷库）证明（</w:t>
            </w:r>
            <w:r>
              <w:rPr>
                <w:b/>
                <w:bCs/>
                <w:kern w:val="0"/>
                <w:sz w:val="21"/>
                <w:szCs w:val="21"/>
                <w:lang w:bidi="ar"/>
              </w:rPr>
              <w:t>根据标段需求设为仓库或冷库</w:t>
            </w:r>
            <w:r>
              <w:rPr>
                <w:kern w:val="0"/>
                <w:sz w:val="21"/>
                <w:szCs w:val="21"/>
                <w:lang w:bidi="ar"/>
              </w:rPr>
              <w:t>）。</w:t>
            </w:r>
            <w:r>
              <w:rPr>
                <w:kern w:val="0"/>
                <w:sz w:val="21"/>
                <w:szCs w:val="21"/>
                <w:lang w:bidi="ar"/>
              </w:rPr>
              <w:br w:type="textWrapping"/>
            </w:r>
            <w:r>
              <w:rPr>
                <w:kern w:val="0"/>
                <w:sz w:val="21"/>
                <w:szCs w:val="21"/>
                <w:lang w:bidi="ar"/>
              </w:rPr>
              <w:t>仓库（冷库）面积≥****㎡，得5分；****㎡＞仓库（冷库）面积≥****㎡，得4分；****㎡＞仓库（冷库）面积≥****㎡，得3分；****㎡＞仓库（冷库）面积≥100㎡，得2分；100㎡＞仓库（冷库）面积≥50㎡，得1分；未提供或仓库（冷库）面积＜50㎡不得分。本项最高得5分。</w:t>
            </w:r>
            <w:r>
              <w:rPr>
                <w:kern w:val="0"/>
                <w:sz w:val="21"/>
                <w:szCs w:val="21"/>
                <w:lang w:bidi="ar"/>
              </w:rPr>
              <w:br w:type="textWrapping"/>
            </w:r>
            <w:r>
              <w:rPr>
                <w:kern w:val="0"/>
                <w:sz w:val="21"/>
                <w:szCs w:val="21"/>
                <w:lang w:bidi="ar"/>
              </w:rPr>
              <w:t>（提供仓库（冷库）的相关图片，自有仓库（冷库）的提供相关产权证明复印件，如房产证，登记名称与投标人名称必须一致；租赁仓库（冷库）的提供截至投标日仍在合同期内的租赁协议及出租方相关产权证明复印件。场地面积单位不是㎡的请自行换算并在投标文件中标注㎡面积。证明材料加盖公章。）</w:t>
            </w:r>
          </w:p>
          <w:p>
            <w:pPr>
              <w:overflowPunct/>
              <w:adjustRightInd/>
              <w:snapToGrid/>
              <w:spacing w:line="360" w:lineRule="exact"/>
              <w:ind w:firstLine="0" w:firstLineChars="0"/>
              <w:textAlignment w:val="center"/>
              <w:rPr>
                <w:sz w:val="21"/>
                <w:szCs w:val="21"/>
              </w:rPr>
            </w:pPr>
            <w:r>
              <w:rPr>
                <w:b/>
                <w:bCs/>
                <w:kern w:val="0"/>
                <w:sz w:val="21"/>
                <w:szCs w:val="21"/>
                <w:lang w:bidi="ar"/>
              </w:rPr>
              <w:t>注：此项内容根据配送学校的实际情况确定数量，数量应合理适当，不得过高要求。发布文件时请将此条注意事项删除。</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4.5</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b/>
                <w:bCs/>
                <w:kern w:val="0"/>
                <w:sz w:val="21"/>
                <w:szCs w:val="21"/>
                <w:lang w:bidi="ar"/>
              </w:rPr>
            </w:pPr>
            <w:r>
              <w:rPr>
                <w:b/>
                <w:bCs/>
                <w:kern w:val="0"/>
                <w:sz w:val="21"/>
                <w:szCs w:val="21"/>
                <w:lang w:bidi="ar"/>
              </w:rPr>
              <w:t>仓库控温系统：</w:t>
            </w:r>
            <w:r>
              <w:rPr>
                <w:kern w:val="0"/>
                <w:sz w:val="21"/>
                <w:szCs w:val="21"/>
                <w:lang w:bidi="ar"/>
              </w:rPr>
              <w:t>投标人提供的仓库（冷库）控温效果好，能够较好实现控温，具有温度报警系统，温度恒定得3分；投标人提供的仓库（冷库）控温效果好，能够较好实现控温，温度恒定得2分。本项最高得3分。</w:t>
            </w:r>
            <w:r>
              <w:rPr>
                <w:kern w:val="0"/>
                <w:sz w:val="21"/>
                <w:szCs w:val="21"/>
                <w:lang w:bidi="ar"/>
              </w:rPr>
              <w:br w:type="textWrapping"/>
            </w:r>
            <w:r>
              <w:rPr>
                <w:kern w:val="0"/>
                <w:sz w:val="21"/>
                <w:szCs w:val="21"/>
                <w:lang w:bidi="ar"/>
              </w:rPr>
              <w:t>（提供现场照片，设备功能照片等证明材料）</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4.6</w:t>
            </w:r>
          </w:p>
        </w:tc>
        <w:tc>
          <w:tcPr>
            <w:tcW w:w="1329" w:type="dxa"/>
            <w:vMerge w:val="continue"/>
            <w:tcBorders>
              <w:left w:val="single" w:color="auto" w:sz="4" w:space="0"/>
              <w:right w:val="single" w:color="auto" w:sz="4" w:space="0"/>
            </w:tcBorders>
            <w:vAlign w:val="center"/>
          </w:tcPr>
          <w:p>
            <w:pPr>
              <w:overflowPunct/>
              <w:adjustRightInd/>
              <w:snapToGrid/>
              <w:spacing w:line="360" w:lineRule="auto"/>
              <w:ind w:firstLine="0" w:firstLineChars="0"/>
              <w:jc w:val="center"/>
              <w:rPr>
                <w:b/>
                <w:bCs/>
                <w:kern w:val="0"/>
                <w:sz w:val="21"/>
                <w:szCs w:val="21"/>
              </w:rPr>
            </w:pP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sz w:val="21"/>
                <w:szCs w:val="21"/>
              </w:rPr>
            </w:pPr>
            <w:r>
              <w:rPr>
                <w:b/>
                <w:bCs/>
                <w:kern w:val="0"/>
                <w:sz w:val="21"/>
                <w:szCs w:val="21"/>
                <w:lang w:bidi="ar"/>
              </w:rPr>
              <w:t>企业实力：</w:t>
            </w:r>
            <w:r>
              <w:rPr>
                <w:kern w:val="0"/>
                <w:sz w:val="21"/>
                <w:szCs w:val="21"/>
                <w:lang w:bidi="ar"/>
              </w:rPr>
              <w:t>仓库（冷库）内实行视频监控全覆盖、实现联网，存储时间不少于30天，得1分；无视频监控或不能做到全覆盖或没有联网或存储时间少于30天不得分。本项最高得1分。</w:t>
            </w:r>
            <w:r>
              <w:rPr>
                <w:kern w:val="0"/>
                <w:sz w:val="21"/>
                <w:szCs w:val="21"/>
                <w:lang w:bidi="ar"/>
              </w:rPr>
              <w:br w:type="textWrapping"/>
            </w:r>
            <w:r>
              <w:rPr>
                <w:kern w:val="0"/>
                <w:sz w:val="21"/>
                <w:szCs w:val="21"/>
                <w:lang w:bidi="ar"/>
              </w:rPr>
              <w:t>（提供相关证明材料或承诺书原件并加盖公章，承诺书格式自拟并明确存储时间）</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rPr>
                <w:kern w:val="0"/>
                <w:sz w:val="21"/>
                <w:szCs w:val="21"/>
              </w:rPr>
            </w:pPr>
            <w:r>
              <w:rPr>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5</w:t>
            </w:r>
          </w:p>
        </w:tc>
        <w:tc>
          <w:tcPr>
            <w:tcW w:w="132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履约能力</w:t>
            </w:r>
          </w:p>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1分</w:t>
            </w: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rPr>
            </w:pPr>
            <w:r>
              <w:rPr>
                <w:b/>
                <w:bCs/>
                <w:kern w:val="0"/>
                <w:sz w:val="21"/>
                <w:szCs w:val="21"/>
                <w:lang w:bidi="ar"/>
              </w:rPr>
              <w:t>应急响应：</w:t>
            </w:r>
            <w:r>
              <w:rPr>
                <w:kern w:val="0"/>
                <w:sz w:val="21"/>
                <w:szCs w:val="21"/>
                <w:lang w:bidi="ar"/>
              </w:rPr>
              <w:t>投标人具备应急服务能力，且承诺具有长期驻本地人员，有一定的处理紧急情况的经验，同时为保证食材的卫生安全，能够</w:t>
            </w:r>
            <w:r>
              <w:rPr>
                <w:rFonts w:hint="eastAsia"/>
                <w:kern w:val="0"/>
                <w:sz w:val="21"/>
                <w:szCs w:val="21"/>
                <w:lang w:bidi="ar"/>
              </w:rPr>
              <w:t>接到</w:t>
            </w:r>
            <w:r>
              <w:rPr>
                <w:kern w:val="0"/>
                <w:sz w:val="21"/>
                <w:szCs w:val="21"/>
                <w:lang w:bidi="ar"/>
              </w:rPr>
              <w:t>采购人通知后1小时内赶到项目现场，提供承诺书得1分。</w:t>
            </w:r>
            <w:r>
              <w:rPr>
                <w:kern w:val="0"/>
                <w:sz w:val="21"/>
                <w:szCs w:val="21"/>
                <w:lang w:bidi="ar"/>
              </w:rPr>
              <w:br w:type="textWrapping"/>
            </w:r>
            <w:r>
              <w:rPr>
                <w:kern w:val="0"/>
                <w:sz w:val="21"/>
                <w:szCs w:val="21"/>
                <w:lang w:bidi="ar"/>
              </w:rPr>
              <w:t>（提供承诺书原件及本地人员近三个月内任意一个月社保并加盖公章，承诺书格式自拟，未提供或未按要求提供本项不得分）</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6</w:t>
            </w:r>
          </w:p>
        </w:tc>
        <w:tc>
          <w:tcPr>
            <w:tcW w:w="132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业绩</w:t>
            </w:r>
          </w:p>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4分</w:t>
            </w:r>
          </w:p>
        </w:tc>
        <w:tc>
          <w:tcPr>
            <w:tcW w:w="6570" w:type="dxa"/>
            <w:tcBorders>
              <w:top w:val="single" w:color="auto" w:sz="4" w:space="0"/>
              <w:left w:val="single" w:color="auto" w:sz="4" w:space="0"/>
              <w:right w:val="single" w:color="auto" w:sz="4" w:space="0"/>
            </w:tcBorders>
            <w:vAlign w:val="center"/>
          </w:tcPr>
          <w:p>
            <w:pPr>
              <w:overflowPunct/>
              <w:adjustRightInd/>
              <w:snapToGrid/>
              <w:spacing w:line="360" w:lineRule="exact"/>
              <w:ind w:firstLine="0" w:firstLineChars="0"/>
              <w:textAlignment w:val="center"/>
              <w:rPr>
                <w:sz w:val="21"/>
                <w:szCs w:val="21"/>
              </w:rPr>
            </w:pPr>
            <w:r>
              <w:rPr>
                <w:kern w:val="0"/>
                <w:sz w:val="21"/>
                <w:szCs w:val="21"/>
                <w:lang w:bidi="ar"/>
              </w:rPr>
              <w:t>自</w:t>
            </w:r>
            <w:r>
              <w:rPr>
                <w:sz w:val="21"/>
                <w:szCs w:val="21"/>
                <w:lang w:bidi="ar"/>
              </w:rPr>
              <w:t>20**</w:t>
            </w:r>
            <w:r>
              <w:rPr>
                <w:kern w:val="0"/>
                <w:sz w:val="21"/>
                <w:szCs w:val="21"/>
                <w:lang w:bidi="ar"/>
              </w:rPr>
              <w:t>年</w:t>
            </w:r>
            <w:r>
              <w:rPr>
                <w:sz w:val="21"/>
                <w:szCs w:val="21"/>
                <w:lang w:bidi="ar"/>
              </w:rPr>
              <w:t>1</w:t>
            </w:r>
            <w:r>
              <w:rPr>
                <w:kern w:val="0"/>
                <w:sz w:val="21"/>
                <w:szCs w:val="21"/>
                <w:lang w:bidi="ar"/>
              </w:rPr>
              <w:t>月</w:t>
            </w:r>
            <w:r>
              <w:rPr>
                <w:sz w:val="21"/>
                <w:szCs w:val="21"/>
                <w:lang w:bidi="ar"/>
              </w:rPr>
              <w:t>1</w:t>
            </w:r>
            <w:r>
              <w:rPr>
                <w:kern w:val="0"/>
                <w:sz w:val="21"/>
                <w:szCs w:val="21"/>
                <w:lang w:bidi="ar"/>
              </w:rPr>
              <w:t>日（含）以来</w:t>
            </w:r>
            <w:r>
              <w:rPr>
                <w:b/>
                <w:bCs/>
                <w:kern w:val="0"/>
                <w:sz w:val="21"/>
                <w:szCs w:val="21"/>
                <w:lang w:bidi="ar"/>
              </w:rPr>
              <w:t>（近三年）</w:t>
            </w:r>
            <w:r>
              <w:rPr>
                <w:kern w:val="0"/>
                <w:sz w:val="21"/>
                <w:szCs w:val="21"/>
                <w:lang w:bidi="ar"/>
              </w:rPr>
              <w:t>（时间以合同签订时间为准），投标人承担过类似食材供货业绩的（供货合同内容需包含乳品类食品），每有一个业绩得1分，最多得4分。</w:t>
            </w:r>
            <w:r>
              <w:rPr>
                <w:kern w:val="0"/>
                <w:sz w:val="21"/>
                <w:szCs w:val="21"/>
                <w:lang w:bidi="ar"/>
              </w:rPr>
              <w:br w:type="textWrapping"/>
            </w:r>
            <w:r>
              <w:rPr>
                <w:kern w:val="0"/>
                <w:sz w:val="21"/>
                <w:szCs w:val="21"/>
                <w:lang w:bidi="ar"/>
              </w:rPr>
              <w:t>（提供合同证明材料复印件并加盖公章，未提供的不得分）</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7</w:t>
            </w:r>
          </w:p>
        </w:tc>
        <w:tc>
          <w:tcPr>
            <w:tcW w:w="132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服务10分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exact"/>
              <w:ind w:firstLine="0" w:firstLineChars="0"/>
              <w:textAlignment w:val="center"/>
              <w:rPr>
                <w:kern w:val="0"/>
                <w:sz w:val="21"/>
                <w:szCs w:val="21"/>
              </w:rPr>
            </w:pPr>
            <w:r>
              <w:rPr>
                <w:kern w:val="0"/>
                <w:sz w:val="21"/>
                <w:szCs w:val="21"/>
                <w:u w:val="wave"/>
                <w:lang w:bidi="ar"/>
              </w:rPr>
              <w:t>以供应商服务评价分最高分（100分）为基准分，其服务分为满分10分。其他投标人的服务分统一按照下列公式计算：服务分得分=（其他投标人经计算后的服务分/服务分基准分）×10（小数点后保留两位，小数点第三位四舍五入）。</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8" w:type="dxa"/>
            <w:gridSpan w:val="3"/>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合计</w:t>
            </w:r>
          </w:p>
        </w:tc>
        <w:tc>
          <w:tcPr>
            <w:tcW w:w="859" w:type="dxa"/>
            <w:tcBorders>
              <w:top w:val="single" w:color="auto" w:sz="4" w:space="0"/>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100</w:t>
            </w:r>
          </w:p>
        </w:tc>
      </w:tr>
    </w:tbl>
    <w:p>
      <w:pPr>
        <w:overflowPunct/>
        <w:adjustRightInd/>
        <w:snapToGrid/>
        <w:spacing w:line="560" w:lineRule="exact"/>
        <w:ind w:firstLine="640"/>
        <w:rPr>
          <w:szCs w:val="32"/>
        </w:rPr>
      </w:pPr>
    </w:p>
    <w:p>
      <w:pPr>
        <w:overflowPunct/>
        <w:adjustRightInd/>
        <w:snapToGrid/>
        <w:spacing w:line="560" w:lineRule="exact"/>
        <w:ind w:firstLine="0" w:firstLineChars="0"/>
        <w:rPr>
          <w:szCs w:val="32"/>
        </w:rPr>
      </w:pPr>
      <w:r>
        <w:rPr>
          <w:szCs w:val="32"/>
        </w:rPr>
        <w:br w:type="page"/>
      </w:r>
    </w:p>
    <w:p>
      <w:pPr>
        <w:overflowPunct/>
        <w:adjustRightInd/>
        <w:snapToGrid/>
        <w:spacing w:line="560" w:lineRule="exact"/>
        <w:ind w:firstLine="0" w:firstLineChars="0"/>
        <w:rPr>
          <w:szCs w:val="32"/>
        </w:rPr>
      </w:pPr>
    </w:p>
    <w:p>
      <w:pPr>
        <w:overflowPunct/>
        <w:adjustRightInd/>
        <w:snapToGrid/>
        <w:spacing w:line="560" w:lineRule="exact"/>
        <w:ind w:firstLine="640"/>
        <w:jc w:val="center"/>
        <w:outlineLvl w:val="1"/>
        <w:rPr>
          <w:rFonts w:ascii="方正小标宋简体" w:hAnsi="方正小标宋简体" w:eastAsia="方正小标宋简体" w:cs="方正小标宋简体"/>
          <w:bCs/>
          <w:kern w:val="0"/>
          <w:szCs w:val="32"/>
        </w:rPr>
      </w:pPr>
      <w:r>
        <w:rPr>
          <w:rFonts w:hint="eastAsia" w:ascii="方正小标宋简体" w:hAnsi="方正小标宋简体" w:eastAsia="方正小标宋简体" w:cs="方正小标宋简体"/>
          <w:bCs/>
          <w:kern w:val="0"/>
          <w:szCs w:val="32"/>
        </w:rPr>
        <w:t>“实际竞价”评分办法</w:t>
      </w:r>
    </w:p>
    <w:p>
      <w:pPr>
        <w:overflowPunct/>
        <w:adjustRightInd/>
        <w:snapToGrid/>
        <w:spacing w:line="560" w:lineRule="exact"/>
        <w:ind w:firstLine="640"/>
        <w:jc w:val="center"/>
        <w:outlineLvl w:val="1"/>
        <w:rPr>
          <w:rFonts w:ascii="方正小标宋简体" w:hAnsi="方正小标宋简体" w:eastAsia="方正小标宋简体" w:cs="方正小标宋简体"/>
          <w:bCs/>
          <w:kern w:val="0"/>
          <w:szCs w:val="32"/>
        </w:rPr>
      </w:pPr>
    </w:p>
    <w:tbl>
      <w:tblPr>
        <w:tblStyle w:val="2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29"/>
        <w:gridCol w:w="657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序号</w:t>
            </w:r>
          </w:p>
        </w:tc>
        <w:tc>
          <w:tcPr>
            <w:tcW w:w="132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评分因素</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评</w:t>
            </w:r>
            <w:r>
              <w:rPr>
                <w:rFonts w:hint="eastAsia"/>
                <w:b/>
                <w:bCs/>
                <w:kern w:val="0"/>
                <w:sz w:val="21"/>
                <w:szCs w:val="21"/>
                <w:lang w:bidi="ar"/>
              </w:rPr>
              <w:t>分</w:t>
            </w:r>
            <w:r>
              <w:rPr>
                <w:b/>
                <w:bCs/>
                <w:kern w:val="0"/>
                <w:sz w:val="21"/>
                <w:szCs w:val="21"/>
                <w:lang w:bidi="ar"/>
              </w:rPr>
              <w:t>标准</w:t>
            </w:r>
          </w:p>
        </w:tc>
        <w:tc>
          <w:tcPr>
            <w:tcW w:w="85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1</w:t>
            </w:r>
          </w:p>
        </w:tc>
        <w:tc>
          <w:tcPr>
            <w:tcW w:w="132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价格</w:t>
            </w:r>
          </w:p>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60分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left"/>
              <w:textAlignment w:val="center"/>
              <w:rPr>
                <w:sz w:val="21"/>
                <w:szCs w:val="21"/>
                <w:u w:val="wave"/>
              </w:rPr>
            </w:pPr>
            <w:r>
              <w:rPr>
                <w:kern w:val="0"/>
                <w:sz w:val="21"/>
                <w:szCs w:val="21"/>
                <w:u w:val="wave"/>
                <w:lang w:bidi="ar"/>
              </w:rPr>
              <w:t>计算有效报价的算术平均值作为第一次基准价P1【当有效投标文件≥7家时，先剔除各报价中最高和最低的</w:t>
            </w:r>
            <w:r>
              <w:rPr>
                <w:rFonts w:hint="eastAsia"/>
                <w:kern w:val="0"/>
                <w:sz w:val="21"/>
                <w:szCs w:val="21"/>
                <w:u w:val="wave"/>
                <w:lang w:bidi="ar"/>
              </w:rPr>
              <w:t>1</w:t>
            </w:r>
            <w:r>
              <w:rPr>
                <w:kern w:val="0"/>
                <w:sz w:val="21"/>
                <w:szCs w:val="21"/>
                <w:u w:val="wave"/>
                <w:lang w:bidi="ar"/>
              </w:rPr>
              <w:t>0%（四舍五入取整）后进行算术平均；当有效投标文件4-6家时，剔除各报价中最高值后进行算术平均；当有效投标文件＜4家时，取各报价中的次低值】，取低于P1的有效报价计算第二次基准价P2，取P1与P2的平均值作为评标基准价P3。投标报价等于评标基准价P3的得60分；投标报价介于评标基准价P1和评标基准价P2之间的部分，每偏离评标基准价P3的1%扣1分；投标报价高于评标基准价P1或低于评标基准价P2的部分，每偏离基准价P3的1%扣1.5分，偏离不足1%的，用插入法计算。</w:t>
            </w:r>
          </w:p>
        </w:tc>
        <w:tc>
          <w:tcPr>
            <w:tcW w:w="85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rPr>
            </w:pPr>
            <w:r>
              <w:rPr>
                <w:b/>
                <w:bCs/>
                <w:kern w:val="0"/>
                <w:sz w:val="21"/>
                <w:szCs w:val="21"/>
                <w:lang w:bidi="ar"/>
              </w:rPr>
              <w:t>2</w:t>
            </w:r>
          </w:p>
        </w:tc>
        <w:tc>
          <w:tcPr>
            <w:tcW w:w="132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服务</w:t>
            </w:r>
          </w:p>
          <w:p>
            <w:pPr>
              <w:overflowPunct/>
              <w:adjustRightInd/>
              <w:snapToGrid/>
              <w:spacing w:line="360" w:lineRule="auto"/>
              <w:ind w:firstLine="0" w:firstLineChars="0"/>
              <w:jc w:val="center"/>
              <w:textAlignment w:val="center"/>
              <w:rPr>
                <w:b/>
                <w:bCs/>
                <w:kern w:val="0"/>
                <w:sz w:val="21"/>
                <w:szCs w:val="21"/>
                <w:lang w:bidi="ar"/>
              </w:rPr>
            </w:pPr>
            <w:r>
              <w:rPr>
                <w:b/>
                <w:bCs/>
                <w:kern w:val="0"/>
                <w:sz w:val="21"/>
                <w:szCs w:val="21"/>
                <w:lang w:bidi="ar"/>
              </w:rPr>
              <w:t>40分</w:t>
            </w:r>
          </w:p>
        </w:tc>
        <w:tc>
          <w:tcPr>
            <w:tcW w:w="6570" w:type="dxa"/>
            <w:tcBorders>
              <w:top w:val="single" w:color="auto" w:sz="4" w:space="0"/>
              <w:left w:val="single" w:color="auto" w:sz="4" w:space="0"/>
              <w:bottom w:val="single" w:color="auto" w:sz="4" w:space="0"/>
              <w:right w:val="single" w:color="auto" w:sz="4" w:space="0"/>
            </w:tcBorders>
            <w:vAlign w:val="center"/>
          </w:tcPr>
          <w:p>
            <w:pPr>
              <w:overflowPunct/>
              <w:adjustRightInd/>
              <w:snapToGrid/>
              <w:spacing w:line="360" w:lineRule="auto"/>
              <w:ind w:firstLine="0" w:firstLineChars="0"/>
              <w:jc w:val="left"/>
              <w:textAlignment w:val="center"/>
              <w:rPr>
                <w:sz w:val="21"/>
                <w:szCs w:val="21"/>
                <w:u w:val="wave"/>
              </w:rPr>
            </w:pPr>
            <w:r>
              <w:rPr>
                <w:kern w:val="0"/>
                <w:sz w:val="21"/>
                <w:szCs w:val="21"/>
                <w:u w:val="wave"/>
                <w:lang w:bidi="ar"/>
              </w:rPr>
              <w:t>以供应商服务评价分最高分（100分）为基准分，其服务分为满分40分。其他投标人的服务分统一按照下列公式计算：服务分得分=（其他投标人经计算后的服务分/服务分基准分）×40（小数点后保留两位，小数点第三位四舍五入）。</w:t>
            </w:r>
          </w:p>
        </w:tc>
        <w:tc>
          <w:tcPr>
            <w:tcW w:w="859" w:type="dxa"/>
            <w:tcBorders>
              <w:left w:val="single" w:color="auto" w:sz="4" w:space="0"/>
              <w:right w:val="single" w:color="auto" w:sz="4" w:space="0"/>
            </w:tcBorders>
            <w:vAlign w:val="center"/>
          </w:tcPr>
          <w:p>
            <w:pPr>
              <w:overflowPunct/>
              <w:adjustRightInd/>
              <w:snapToGrid/>
              <w:spacing w:line="360" w:lineRule="auto"/>
              <w:ind w:firstLine="0" w:firstLineChars="0"/>
              <w:jc w:val="center"/>
              <w:textAlignment w:val="center"/>
              <w:rPr>
                <w:kern w:val="0"/>
                <w:sz w:val="21"/>
                <w:szCs w:val="21"/>
              </w:rPr>
            </w:pPr>
            <w:r>
              <w:rPr>
                <w:kern w:val="0"/>
                <w:sz w:val="21"/>
                <w:szCs w:val="21"/>
                <w:lang w:bidi="ar"/>
              </w:rPr>
              <w:t>40</w:t>
            </w:r>
          </w:p>
        </w:tc>
      </w:tr>
    </w:tbl>
    <w:p>
      <w:pPr>
        <w:overflowPunct/>
        <w:adjustRightInd/>
        <w:snapToGrid/>
        <w:spacing w:line="560" w:lineRule="exact"/>
        <w:ind w:firstLine="0" w:firstLineChars="0"/>
        <w:rPr>
          <w:b/>
          <w:bCs/>
          <w:kern w:val="0"/>
          <w:sz w:val="21"/>
          <w:szCs w:val="21"/>
        </w:rPr>
      </w:pPr>
      <w:r>
        <w:rPr>
          <w:b/>
          <w:bCs/>
          <w:kern w:val="0"/>
          <w:sz w:val="21"/>
          <w:szCs w:val="21"/>
        </w:rPr>
        <w:t>说明：</w:t>
      </w:r>
    </w:p>
    <w:p>
      <w:pPr>
        <w:shd w:val="clear" w:color="auto" w:fill="FFFFFF"/>
        <w:overflowPunct/>
        <w:adjustRightInd/>
        <w:snapToGrid/>
        <w:spacing w:line="240" w:lineRule="auto"/>
        <w:ind w:firstLine="412" w:firstLineChars="0"/>
        <w:jc w:val="left"/>
        <w:rPr>
          <w:b/>
          <w:bCs/>
          <w:kern w:val="0"/>
          <w:sz w:val="21"/>
          <w:szCs w:val="21"/>
          <w:u w:val="single"/>
        </w:rPr>
      </w:pPr>
      <w:r>
        <w:rPr>
          <w:rFonts w:hint="eastAsia"/>
          <w:b/>
          <w:bCs/>
          <w:kern w:val="0"/>
          <w:sz w:val="21"/>
          <w:szCs w:val="21"/>
          <w:u w:val="single"/>
        </w:rPr>
        <w:t>1.</w:t>
      </w:r>
      <w:r>
        <w:rPr>
          <w:b/>
          <w:bCs/>
          <w:kern w:val="0"/>
          <w:sz w:val="21"/>
          <w:szCs w:val="21"/>
          <w:u w:val="single"/>
        </w:rPr>
        <w:t>所有认证、证明和业绩均需提供有效的复印件（扫描件），原件备查。</w:t>
      </w:r>
    </w:p>
    <w:p>
      <w:pPr>
        <w:shd w:val="clear" w:color="auto" w:fill="FFFFFF"/>
        <w:overflowPunct/>
        <w:adjustRightInd/>
        <w:snapToGrid/>
        <w:spacing w:line="240" w:lineRule="auto"/>
        <w:ind w:firstLine="412" w:firstLineChars="0"/>
        <w:jc w:val="left"/>
        <w:rPr>
          <w:b/>
          <w:bCs/>
          <w:kern w:val="0"/>
          <w:sz w:val="21"/>
          <w:szCs w:val="21"/>
          <w:u w:val="single"/>
        </w:rPr>
      </w:pPr>
      <w:r>
        <w:rPr>
          <w:rFonts w:hint="eastAsia"/>
          <w:b/>
          <w:bCs/>
          <w:kern w:val="0"/>
          <w:sz w:val="21"/>
          <w:szCs w:val="21"/>
          <w:u w:val="single"/>
        </w:rPr>
        <w:t>2.</w:t>
      </w:r>
      <w:r>
        <w:rPr>
          <w:b/>
          <w:bCs/>
          <w:kern w:val="0"/>
          <w:sz w:val="21"/>
          <w:szCs w:val="21"/>
          <w:u w:val="single"/>
        </w:rPr>
        <w:t>提供以上评标标准每项内容在投标文件中响应部分的页码。</w:t>
      </w:r>
    </w:p>
    <w:p>
      <w:pPr>
        <w:overflowPunct/>
        <w:adjustRightInd/>
        <w:snapToGrid/>
        <w:spacing w:line="560" w:lineRule="exact"/>
        <w:ind w:firstLine="0" w:firstLineChars="0"/>
        <w:rPr>
          <w:b/>
          <w:bCs/>
          <w:kern w:val="0"/>
          <w:szCs w:val="32"/>
        </w:rPr>
      </w:pPr>
    </w:p>
    <w:p>
      <w:pPr>
        <w:overflowPunct/>
        <w:adjustRightInd/>
        <w:snapToGrid/>
        <w:spacing w:line="560" w:lineRule="exact"/>
        <w:ind w:firstLine="0" w:firstLineChars="0"/>
        <w:rPr>
          <w:szCs w:val="32"/>
        </w:rPr>
      </w:pPr>
      <w:r>
        <w:rPr>
          <w:szCs w:val="32"/>
        </w:rPr>
        <w:br w:type="page"/>
      </w:r>
    </w:p>
    <w:p>
      <w:pPr>
        <w:keepNext/>
        <w:keepLines/>
        <w:spacing w:before="340" w:after="330" w:line="560" w:lineRule="exact"/>
        <w:ind w:firstLine="0" w:firstLineChars="0"/>
        <w:jc w:val="center"/>
        <w:outlineLvl w:val="0"/>
        <w:rPr>
          <w:rFonts w:ascii="方正小标宋简体" w:hAnsi="方正小标宋简体" w:eastAsia="方正小标宋简体" w:cs="方正小标宋简体"/>
          <w:kern w:val="44"/>
          <w:sz w:val="44"/>
          <w:szCs w:val="44"/>
        </w:rPr>
      </w:pPr>
      <w:bookmarkStart w:id="87" w:name="_Toc11191"/>
      <w:r>
        <w:rPr>
          <w:rFonts w:hint="eastAsia" w:ascii="方正小标宋简体" w:hAnsi="方正小标宋简体" w:eastAsia="方正小标宋简体" w:cs="方正小标宋简体"/>
          <w:kern w:val="44"/>
          <w:sz w:val="44"/>
          <w:szCs w:val="44"/>
        </w:rPr>
        <w:t>第四章 采购项目的内容和相关技术要求等</w:t>
      </w:r>
      <w:bookmarkEnd w:id="87"/>
    </w:p>
    <w:p>
      <w:pPr>
        <w:overflowPunct/>
        <w:adjustRightInd/>
        <w:snapToGrid/>
        <w:spacing w:line="560" w:lineRule="exact"/>
        <w:ind w:firstLine="640"/>
        <w:jc w:val="left"/>
        <w:rPr>
          <w:rFonts w:eastAsia="黑体"/>
          <w:bCs/>
          <w:szCs w:val="32"/>
        </w:rPr>
      </w:pPr>
      <w:r>
        <w:rPr>
          <w:rFonts w:eastAsia="黑体"/>
          <w:bCs/>
          <w:szCs w:val="32"/>
        </w:rPr>
        <w:t>一、项目名称</w:t>
      </w:r>
    </w:p>
    <w:p>
      <w:pPr>
        <w:overflowPunct/>
        <w:adjustRightInd/>
        <w:snapToGrid/>
        <w:spacing w:line="560" w:lineRule="exact"/>
        <w:ind w:firstLine="640"/>
        <w:jc w:val="left"/>
        <w:rPr>
          <w:bCs/>
          <w:szCs w:val="32"/>
          <w:u w:val="wave"/>
        </w:rPr>
      </w:pPr>
      <w:r>
        <w:rPr>
          <w:bCs/>
          <w:szCs w:val="32"/>
          <w:u w:val="wave"/>
        </w:rPr>
        <w:t>XX地区</w:t>
      </w:r>
      <w:r>
        <w:rPr>
          <w:rFonts w:hint="eastAsia"/>
          <w:bCs/>
          <w:szCs w:val="32"/>
          <w:u w:val="wave"/>
        </w:rPr>
        <w:t>中小学食材采购项目</w:t>
      </w:r>
      <w:r>
        <w:rPr>
          <w:bCs/>
          <w:szCs w:val="32"/>
          <w:u w:val="wave"/>
        </w:rPr>
        <w:t> </w:t>
      </w:r>
    </w:p>
    <w:p>
      <w:pPr>
        <w:overflowPunct/>
        <w:adjustRightInd/>
        <w:snapToGrid/>
        <w:spacing w:line="560" w:lineRule="exact"/>
        <w:ind w:firstLine="640"/>
        <w:jc w:val="left"/>
        <w:rPr>
          <w:rFonts w:eastAsia="黑体"/>
          <w:bCs/>
          <w:szCs w:val="32"/>
        </w:rPr>
      </w:pPr>
      <w:r>
        <w:rPr>
          <w:rFonts w:eastAsia="黑体"/>
          <w:bCs/>
          <w:szCs w:val="32"/>
        </w:rPr>
        <w:t>二、相关要求</w:t>
      </w:r>
    </w:p>
    <w:p>
      <w:pPr>
        <w:shd w:val="clear" w:color="auto" w:fill="FFFFFF"/>
        <w:overflowPunct/>
        <w:adjustRightInd/>
        <w:snapToGrid/>
        <w:spacing w:line="560" w:lineRule="exact"/>
        <w:ind w:firstLineChars="0"/>
        <w:rPr>
          <w:bCs/>
          <w:szCs w:val="32"/>
          <w:u w:val="wave"/>
        </w:rPr>
      </w:pPr>
      <w:r>
        <w:rPr>
          <w:bCs/>
          <w:szCs w:val="32"/>
          <w:u w:val="wave"/>
        </w:rPr>
        <w:t>1.食品必须符合国家的食品卫生标准、规格及包装要求；</w:t>
      </w:r>
    </w:p>
    <w:p>
      <w:pPr>
        <w:shd w:val="clear" w:color="auto" w:fill="FFFFFF"/>
        <w:overflowPunct/>
        <w:adjustRightInd/>
        <w:snapToGrid/>
        <w:spacing w:line="560" w:lineRule="exact"/>
        <w:ind w:firstLineChars="0"/>
        <w:rPr>
          <w:bCs/>
          <w:szCs w:val="32"/>
          <w:u w:val="wave"/>
        </w:rPr>
      </w:pPr>
      <w:r>
        <w:rPr>
          <w:bCs/>
          <w:szCs w:val="32"/>
          <w:u w:val="wave"/>
        </w:rPr>
        <w:t>2.产品为今年近期生产的非转基因产品，中标后向采购人提供书面质量检测报告及标签；</w:t>
      </w:r>
    </w:p>
    <w:p>
      <w:pPr>
        <w:shd w:val="clear" w:color="auto" w:fill="FFFFFF"/>
        <w:overflowPunct/>
        <w:adjustRightInd/>
        <w:snapToGrid/>
        <w:spacing w:line="560" w:lineRule="exact"/>
        <w:ind w:firstLineChars="0"/>
        <w:rPr>
          <w:bCs/>
          <w:szCs w:val="32"/>
          <w:u w:val="wave"/>
        </w:rPr>
      </w:pPr>
      <w:r>
        <w:rPr>
          <w:bCs/>
          <w:szCs w:val="32"/>
          <w:u w:val="wave"/>
        </w:rPr>
        <w:t>3.中标人需严格遵守《中华人民共和国食品安全法》及其他相关法律法规有关规定，所提供物资应具有食品生产许可证编号或符合国家相关标准；</w:t>
      </w:r>
    </w:p>
    <w:p>
      <w:pPr>
        <w:shd w:val="clear" w:color="auto" w:fill="FFFFFF"/>
        <w:overflowPunct/>
        <w:adjustRightInd/>
        <w:snapToGrid/>
        <w:spacing w:line="560" w:lineRule="exact"/>
        <w:ind w:firstLineChars="0"/>
        <w:rPr>
          <w:bCs/>
          <w:szCs w:val="32"/>
          <w:u w:val="wave"/>
        </w:rPr>
      </w:pPr>
      <w:r>
        <w:rPr>
          <w:bCs/>
          <w:szCs w:val="32"/>
          <w:u w:val="wave"/>
        </w:rPr>
        <w:t>4.能自觉遵守学校相关规章制度，服从校方管理。</w:t>
      </w:r>
    </w:p>
    <w:p>
      <w:pPr>
        <w:overflowPunct/>
        <w:adjustRightInd/>
        <w:snapToGrid/>
        <w:spacing w:line="560" w:lineRule="exact"/>
        <w:ind w:firstLine="640"/>
        <w:jc w:val="left"/>
        <w:rPr>
          <w:rFonts w:eastAsia="黑体"/>
          <w:bCs/>
          <w:szCs w:val="32"/>
        </w:rPr>
      </w:pPr>
      <w:r>
        <w:rPr>
          <w:rFonts w:eastAsia="黑体"/>
          <w:bCs/>
          <w:szCs w:val="32"/>
        </w:rPr>
        <w:t>三、项目需求</w:t>
      </w:r>
    </w:p>
    <w:p>
      <w:pPr>
        <w:shd w:val="clear" w:color="auto" w:fill="FFFFFF"/>
        <w:overflowPunct/>
        <w:adjustRightInd/>
        <w:snapToGrid/>
        <w:spacing w:line="560" w:lineRule="exact"/>
        <w:ind w:firstLineChars="0"/>
        <w:rPr>
          <w:bCs/>
          <w:kern w:val="0"/>
          <w:szCs w:val="32"/>
        </w:rPr>
      </w:pPr>
      <w:r>
        <w:rPr>
          <w:bCs/>
          <w:szCs w:val="32"/>
        </w:rPr>
        <w:t>1.</w:t>
      </w:r>
      <w:r>
        <w:rPr>
          <w:rFonts w:hint="eastAsia"/>
          <w:bCs/>
          <w:szCs w:val="32"/>
        </w:rPr>
        <w:t>食材分组</w:t>
      </w:r>
      <w:r>
        <w:rPr>
          <w:bCs/>
          <w:szCs w:val="32"/>
        </w:rPr>
        <w:t>一X</w:t>
      </w:r>
      <w:r>
        <w:rPr>
          <w:rFonts w:hint="eastAsia"/>
          <w:bCs/>
          <w:kern w:val="0"/>
          <w:szCs w:val="32"/>
        </w:rPr>
        <w:t>XX/XXX/XXX的标段划分:</w:t>
      </w:r>
    </w:p>
    <w:p>
      <w:pPr>
        <w:shd w:val="clear" w:color="auto" w:fill="FFFFFF"/>
        <w:overflowPunct/>
        <w:adjustRightInd/>
        <w:snapToGrid/>
        <w:spacing w:line="560" w:lineRule="exact"/>
        <w:ind w:firstLineChars="0"/>
        <w:rPr>
          <w:bCs/>
          <w:szCs w:val="32"/>
        </w:rPr>
      </w:pPr>
      <w:r>
        <w:rPr>
          <w:rFonts w:hint="eastAsia"/>
          <w:bCs/>
          <w:szCs w:val="32"/>
        </w:rPr>
        <w:t>（1）</w:t>
      </w:r>
      <w:r>
        <w:rPr>
          <w:bCs/>
          <w:szCs w:val="32"/>
        </w:rPr>
        <w:t>标段一供货学校</w:t>
      </w:r>
      <w:r>
        <w:rPr>
          <w:rFonts w:hint="eastAsia"/>
          <w:bCs/>
          <w:szCs w:val="32"/>
        </w:rPr>
        <w:t>分组</w:t>
      </w:r>
      <w:r>
        <w:rPr>
          <w:bCs/>
          <w:szCs w:val="32"/>
        </w:rPr>
        <w:t>名单</w:t>
      </w:r>
    </w:p>
    <w:tbl>
      <w:tblPr>
        <w:tblStyle w:val="24"/>
        <w:tblW w:w="7778"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929"/>
        <w:gridCol w:w="1311"/>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序号</w:t>
            </w:r>
          </w:p>
        </w:tc>
        <w:tc>
          <w:tcPr>
            <w:tcW w:w="192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学校名称</w:t>
            </w:r>
          </w:p>
        </w:tc>
        <w:tc>
          <w:tcPr>
            <w:tcW w:w="131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就餐人数</w:t>
            </w:r>
          </w:p>
        </w:tc>
        <w:tc>
          <w:tcPr>
            <w:tcW w:w="367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1</w:t>
            </w:r>
          </w:p>
        </w:tc>
        <w:tc>
          <w:tcPr>
            <w:tcW w:w="192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名称1</w:t>
            </w:r>
          </w:p>
        </w:tc>
        <w:tc>
          <w:tcPr>
            <w:tcW w:w="131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3000</w:t>
            </w:r>
          </w:p>
        </w:tc>
        <w:tc>
          <w:tcPr>
            <w:tcW w:w="367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2</w:t>
            </w:r>
          </w:p>
        </w:tc>
        <w:tc>
          <w:tcPr>
            <w:tcW w:w="192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名称2</w:t>
            </w:r>
          </w:p>
        </w:tc>
        <w:tc>
          <w:tcPr>
            <w:tcW w:w="131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1500</w:t>
            </w:r>
          </w:p>
        </w:tc>
        <w:tc>
          <w:tcPr>
            <w:tcW w:w="367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3</w:t>
            </w:r>
          </w:p>
        </w:tc>
        <w:tc>
          <w:tcPr>
            <w:tcW w:w="192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名称3</w:t>
            </w:r>
          </w:p>
        </w:tc>
        <w:tc>
          <w:tcPr>
            <w:tcW w:w="1311"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2200</w:t>
            </w:r>
          </w:p>
        </w:tc>
        <w:tc>
          <w:tcPr>
            <w:tcW w:w="367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4</w:t>
            </w:r>
          </w:p>
        </w:tc>
        <w:tc>
          <w:tcPr>
            <w:tcW w:w="192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名称4</w:t>
            </w:r>
          </w:p>
        </w:tc>
        <w:tc>
          <w:tcPr>
            <w:tcW w:w="1311"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4000</w:t>
            </w:r>
          </w:p>
        </w:tc>
        <w:tc>
          <w:tcPr>
            <w:tcW w:w="367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c>
          <w:tcPr>
            <w:tcW w:w="192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c>
          <w:tcPr>
            <w:tcW w:w="1311"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c>
          <w:tcPr>
            <w:tcW w:w="367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r>
    </w:tbl>
    <w:p>
      <w:pPr>
        <w:shd w:val="clear" w:color="auto" w:fill="FFFFFF"/>
        <w:overflowPunct/>
        <w:adjustRightInd/>
        <w:snapToGrid/>
        <w:spacing w:line="560" w:lineRule="exact"/>
        <w:ind w:firstLineChars="0"/>
        <w:rPr>
          <w:bCs/>
          <w:szCs w:val="32"/>
        </w:rPr>
      </w:pPr>
      <w:r>
        <w:rPr>
          <w:rFonts w:hint="eastAsia"/>
          <w:bCs/>
          <w:szCs w:val="32"/>
        </w:rPr>
        <w:t>（2）</w:t>
      </w:r>
      <w:r>
        <w:rPr>
          <w:bCs/>
          <w:szCs w:val="32"/>
        </w:rPr>
        <w:t>标段</w:t>
      </w:r>
      <w:r>
        <w:rPr>
          <w:rFonts w:hint="eastAsia"/>
          <w:bCs/>
          <w:szCs w:val="32"/>
        </w:rPr>
        <w:t>二</w:t>
      </w:r>
      <w:r>
        <w:rPr>
          <w:bCs/>
          <w:szCs w:val="32"/>
        </w:rPr>
        <w:t>供货学校</w:t>
      </w:r>
      <w:r>
        <w:rPr>
          <w:rFonts w:hint="eastAsia"/>
          <w:bCs/>
          <w:szCs w:val="32"/>
        </w:rPr>
        <w:t>分组</w:t>
      </w:r>
      <w:r>
        <w:rPr>
          <w:bCs/>
          <w:szCs w:val="32"/>
        </w:rPr>
        <w:t>名单</w:t>
      </w:r>
    </w:p>
    <w:tbl>
      <w:tblPr>
        <w:tblStyle w:val="23"/>
        <w:tblW w:w="7789"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931"/>
        <w:gridCol w:w="1059"/>
        <w:gridCol w:w="244"/>
        <w:gridCol w:w="3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序号</w:t>
            </w:r>
          </w:p>
        </w:tc>
        <w:tc>
          <w:tcPr>
            <w:tcW w:w="193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学校名称</w:t>
            </w:r>
          </w:p>
        </w:tc>
        <w:tc>
          <w:tcPr>
            <w:tcW w:w="1303" w:type="dxa"/>
            <w:gridSpan w:val="2"/>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就餐人数</w:t>
            </w:r>
          </w:p>
        </w:tc>
        <w:tc>
          <w:tcPr>
            <w:tcW w:w="3674"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1</w:t>
            </w:r>
          </w:p>
        </w:tc>
        <w:tc>
          <w:tcPr>
            <w:tcW w:w="193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名称1</w:t>
            </w:r>
          </w:p>
        </w:tc>
        <w:tc>
          <w:tcPr>
            <w:tcW w:w="105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3000</w:t>
            </w:r>
          </w:p>
        </w:tc>
        <w:tc>
          <w:tcPr>
            <w:tcW w:w="3918" w:type="dxa"/>
            <w:gridSpan w:val="2"/>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2</w:t>
            </w:r>
          </w:p>
        </w:tc>
        <w:tc>
          <w:tcPr>
            <w:tcW w:w="193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名称2</w:t>
            </w:r>
          </w:p>
        </w:tc>
        <w:tc>
          <w:tcPr>
            <w:tcW w:w="1059"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1500</w:t>
            </w:r>
          </w:p>
        </w:tc>
        <w:tc>
          <w:tcPr>
            <w:tcW w:w="3918" w:type="dxa"/>
            <w:gridSpan w:val="2"/>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8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3</w:t>
            </w:r>
          </w:p>
        </w:tc>
        <w:tc>
          <w:tcPr>
            <w:tcW w:w="193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名称3</w:t>
            </w:r>
          </w:p>
        </w:tc>
        <w:tc>
          <w:tcPr>
            <w:tcW w:w="105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2200</w:t>
            </w:r>
          </w:p>
        </w:tc>
        <w:tc>
          <w:tcPr>
            <w:tcW w:w="3918" w:type="dxa"/>
            <w:gridSpan w:val="2"/>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4</w:t>
            </w:r>
          </w:p>
        </w:tc>
        <w:tc>
          <w:tcPr>
            <w:tcW w:w="1931" w:type="dxa"/>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学校</w:t>
            </w:r>
            <w:r>
              <w:rPr>
                <w:rFonts w:hint="eastAsia"/>
                <w:bCs/>
                <w:kern w:val="0"/>
                <w:sz w:val="21"/>
                <w:szCs w:val="21"/>
                <w:lang w:bidi="ar"/>
              </w:rPr>
              <w:t>名称4</w:t>
            </w:r>
          </w:p>
        </w:tc>
        <w:tc>
          <w:tcPr>
            <w:tcW w:w="105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4000</w:t>
            </w:r>
          </w:p>
        </w:tc>
        <w:tc>
          <w:tcPr>
            <w:tcW w:w="3918" w:type="dxa"/>
            <w:gridSpan w:val="2"/>
            <w:vAlign w:val="center"/>
          </w:tcPr>
          <w:p>
            <w:pPr>
              <w:overflowPunct/>
              <w:adjustRightInd/>
              <w:snapToGrid/>
              <w:spacing w:line="560" w:lineRule="exact"/>
              <w:ind w:firstLine="0" w:firstLineChars="0"/>
              <w:jc w:val="center"/>
              <w:textAlignment w:val="center"/>
              <w:rPr>
                <w:bCs/>
                <w:kern w:val="0"/>
                <w:sz w:val="21"/>
                <w:szCs w:val="21"/>
                <w:lang w:bidi="ar"/>
              </w:rPr>
            </w:pPr>
            <w:r>
              <w:rPr>
                <w:bCs/>
                <w:kern w:val="0"/>
                <w:sz w:val="21"/>
                <w:szCs w:val="21"/>
                <w:lang w:bidi="ar"/>
              </w:rPr>
              <w:t>（如实填写）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1"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c>
          <w:tcPr>
            <w:tcW w:w="1931"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c>
          <w:tcPr>
            <w:tcW w:w="1059" w:type="dxa"/>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c>
          <w:tcPr>
            <w:tcW w:w="3918" w:type="dxa"/>
            <w:gridSpan w:val="2"/>
            <w:vAlign w:val="center"/>
          </w:tcPr>
          <w:p>
            <w:pPr>
              <w:overflowPunct/>
              <w:adjustRightInd/>
              <w:snapToGrid/>
              <w:spacing w:line="560" w:lineRule="exact"/>
              <w:ind w:firstLine="0" w:firstLineChars="0"/>
              <w:jc w:val="center"/>
              <w:textAlignment w:val="center"/>
              <w:rPr>
                <w:bCs/>
                <w:kern w:val="0"/>
                <w:sz w:val="21"/>
                <w:szCs w:val="21"/>
                <w:lang w:bidi="ar"/>
              </w:rPr>
            </w:pPr>
            <w:r>
              <w:rPr>
                <w:rFonts w:hint="eastAsia"/>
                <w:bCs/>
                <w:kern w:val="0"/>
                <w:sz w:val="21"/>
                <w:szCs w:val="21"/>
                <w:lang w:bidi="ar"/>
              </w:rPr>
              <w:t>...</w:t>
            </w:r>
          </w:p>
        </w:tc>
      </w:tr>
    </w:tbl>
    <w:p>
      <w:pPr>
        <w:numPr>
          <w:ilvl w:val="255"/>
          <w:numId w:val="0"/>
        </w:numPr>
        <w:overflowPunct/>
        <w:adjustRightInd/>
        <w:snapToGrid/>
        <w:spacing w:line="560" w:lineRule="exact"/>
        <w:ind w:firstLine="720" w:firstLineChars="400"/>
        <w:jc w:val="left"/>
        <w:rPr>
          <w:rFonts w:eastAsia="黑体"/>
          <w:bCs/>
          <w:sz w:val="18"/>
          <w:szCs w:val="18"/>
        </w:rPr>
      </w:pPr>
      <w:r>
        <w:rPr>
          <w:rFonts w:hint="eastAsia" w:eastAsia="黑体"/>
          <w:bCs/>
          <w:sz w:val="18"/>
          <w:szCs w:val="18"/>
        </w:rPr>
        <w:t>(表格内容仅为参考)</w:t>
      </w:r>
    </w:p>
    <w:p>
      <w:pPr>
        <w:overflowPunct/>
        <w:adjustRightInd/>
        <w:snapToGrid/>
        <w:spacing w:line="560" w:lineRule="exact"/>
        <w:ind w:firstLine="960" w:firstLineChars="300"/>
        <w:rPr>
          <w:b/>
          <w:bCs/>
          <w:szCs w:val="32"/>
        </w:rPr>
      </w:pPr>
      <w:r>
        <w:rPr>
          <w:rFonts w:hint="eastAsia"/>
          <w:bCs/>
          <w:szCs w:val="32"/>
        </w:rPr>
        <w:t>……</w:t>
      </w:r>
      <w:r>
        <w:rPr>
          <w:b/>
          <w:bCs/>
          <w:szCs w:val="32"/>
        </w:rPr>
        <w:t>（以下</w:t>
      </w:r>
      <w:r>
        <w:rPr>
          <w:rFonts w:hint="eastAsia"/>
          <w:b/>
          <w:bCs/>
          <w:szCs w:val="32"/>
        </w:rPr>
        <w:t>各</w:t>
      </w:r>
      <w:r>
        <w:rPr>
          <w:b/>
          <w:bCs/>
          <w:szCs w:val="32"/>
        </w:rPr>
        <w:t>标段</w:t>
      </w:r>
      <w:r>
        <w:rPr>
          <w:rFonts w:hint="eastAsia"/>
          <w:b/>
          <w:bCs/>
          <w:szCs w:val="32"/>
        </w:rPr>
        <w:t>学校分组名单</w:t>
      </w:r>
      <w:r>
        <w:rPr>
          <w:b/>
          <w:bCs/>
          <w:szCs w:val="32"/>
        </w:rPr>
        <w:t>均参照</w:t>
      </w:r>
      <w:r>
        <w:rPr>
          <w:rFonts w:hint="eastAsia"/>
          <w:b/>
          <w:bCs/>
          <w:szCs w:val="32"/>
        </w:rPr>
        <w:t>食材分组一标段进行</w:t>
      </w:r>
      <w:r>
        <w:rPr>
          <w:b/>
          <w:bCs/>
          <w:szCs w:val="32"/>
        </w:rPr>
        <w:t>划分）</w:t>
      </w:r>
    </w:p>
    <w:p>
      <w:pPr>
        <w:shd w:val="clear" w:color="auto" w:fill="FFFFFF"/>
        <w:overflowPunct/>
        <w:adjustRightInd/>
        <w:snapToGrid/>
        <w:spacing w:line="560" w:lineRule="exact"/>
        <w:ind w:firstLine="640"/>
        <w:rPr>
          <w:bCs/>
          <w:szCs w:val="32"/>
        </w:rPr>
      </w:pPr>
      <w:r>
        <w:rPr>
          <w:rFonts w:hint="eastAsia"/>
          <w:bCs/>
          <w:szCs w:val="32"/>
        </w:rPr>
        <w:t>3.各标段采购总量以实际供货为准。</w:t>
      </w:r>
    </w:p>
    <w:p>
      <w:pPr>
        <w:shd w:val="clear" w:color="auto" w:fill="FFFFFF"/>
        <w:overflowPunct/>
        <w:adjustRightInd/>
        <w:snapToGrid/>
        <w:spacing w:line="560" w:lineRule="exact"/>
        <w:ind w:firstLine="640"/>
        <w:rPr>
          <w:bCs/>
          <w:szCs w:val="32"/>
          <w:u w:val="wave"/>
        </w:rPr>
      </w:pPr>
      <w:r>
        <w:rPr>
          <w:bCs/>
          <w:szCs w:val="32"/>
        </w:rPr>
        <w:t>4.</w:t>
      </w:r>
      <w:r>
        <w:rPr>
          <w:bCs/>
          <w:szCs w:val="32"/>
          <w:u w:val="wave"/>
        </w:rPr>
        <w:t>每个标段中标人仅为1家，参与单个标段的投标人数量应不少于中标人数量的3倍。</w:t>
      </w:r>
    </w:p>
    <w:p>
      <w:pPr>
        <w:numPr>
          <w:ilvl w:val="2"/>
          <w:numId w:val="4"/>
        </w:numPr>
        <w:overflowPunct/>
        <w:adjustRightInd/>
        <w:snapToGrid/>
        <w:spacing w:line="560" w:lineRule="exact"/>
        <w:ind w:firstLineChars="0"/>
        <w:jc w:val="left"/>
        <w:rPr>
          <w:bCs/>
          <w:szCs w:val="32"/>
        </w:rPr>
      </w:pPr>
    </w:p>
    <w:p>
      <w:pPr>
        <w:numPr>
          <w:ilvl w:val="0"/>
          <w:numId w:val="5"/>
        </w:numPr>
        <w:overflowPunct/>
        <w:adjustRightInd/>
        <w:snapToGrid/>
        <w:spacing w:line="560" w:lineRule="exact"/>
        <w:ind w:firstLine="640"/>
        <w:jc w:val="left"/>
        <w:rPr>
          <w:rFonts w:eastAsia="黑体"/>
          <w:bCs/>
          <w:szCs w:val="32"/>
        </w:rPr>
      </w:pPr>
      <w:r>
        <w:rPr>
          <w:rFonts w:eastAsia="黑体"/>
          <w:bCs/>
          <w:szCs w:val="32"/>
        </w:rPr>
        <w:t>相关要求</w:t>
      </w:r>
    </w:p>
    <w:p>
      <w:pPr>
        <w:overflowPunct/>
        <w:adjustRightInd/>
        <w:snapToGrid/>
        <w:spacing w:line="560" w:lineRule="exact"/>
        <w:ind w:firstLine="640"/>
        <w:jc w:val="left"/>
        <w:rPr>
          <w:bCs/>
          <w:szCs w:val="32"/>
          <w:u w:val="wave"/>
        </w:rPr>
      </w:pPr>
      <w:r>
        <w:rPr>
          <w:bCs/>
          <w:szCs w:val="32"/>
          <w:u w:val="wave"/>
        </w:rPr>
        <w:t>（</w:t>
      </w:r>
      <w:r>
        <w:rPr>
          <w:rFonts w:hint="eastAsia"/>
          <w:bCs/>
          <w:szCs w:val="32"/>
          <w:u w:val="wave"/>
        </w:rPr>
        <w:t>一</w:t>
      </w:r>
      <w:r>
        <w:rPr>
          <w:bCs/>
          <w:szCs w:val="32"/>
          <w:u w:val="wave"/>
        </w:rPr>
        <w:t>）投标人提供食品原料的卫生、质量必须符合《中华人民共和国食品安全法》的要求，禁止将下列原料供应给采购人：</w:t>
      </w:r>
    </w:p>
    <w:p>
      <w:pPr>
        <w:overflowPunct/>
        <w:adjustRightInd/>
        <w:snapToGrid/>
        <w:spacing w:line="560" w:lineRule="exact"/>
        <w:ind w:firstLine="640"/>
        <w:jc w:val="left"/>
        <w:rPr>
          <w:bCs/>
          <w:szCs w:val="32"/>
          <w:u w:val="wave"/>
        </w:rPr>
      </w:pPr>
      <w:r>
        <w:rPr>
          <w:bCs/>
          <w:szCs w:val="32"/>
          <w:u w:val="wave"/>
        </w:rPr>
        <w:t xml:space="preserve">1.腐烂变质、油脂酸败、霉变、生虫、混有异物或其他感官性状异常，可能对人体健康有害的；  </w:t>
      </w:r>
    </w:p>
    <w:p>
      <w:pPr>
        <w:overflowPunct/>
        <w:adjustRightInd/>
        <w:snapToGrid/>
        <w:spacing w:line="560" w:lineRule="exact"/>
        <w:ind w:firstLine="640"/>
        <w:jc w:val="left"/>
        <w:rPr>
          <w:bCs/>
          <w:szCs w:val="32"/>
          <w:u w:val="wave"/>
        </w:rPr>
      </w:pPr>
      <w:r>
        <w:rPr>
          <w:bCs/>
          <w:szCs w:val="32"/>
          <w:u w:val="wave"/>
        </w:rPr>
        <w:t xml:space="preserve">2.含有毒、有害物质或微生物毒素含量超过国家限定标准的； </w:t>
      </w:r>
    </w:p>
    <w:p>
      <w:pPr>
        <w:overflowPunct/>
        <w:adjustRightInd/>
        <w:snapToGrid/>
        <w:spacing w:line="560" w:lineRule="exact"/>
        <w:ind w:firstLine="640"/>
        <w:jc w:val="left"/>
        <w:rPr>
          <w:bCs/>
          <w:szCs w:val="32"/>
          <w:u w:val="wave"/>
        </w:rPr>
      </w:pPr>
      <w:r>
        <w:rPr>
          <w:bCs/>
          <w:szCs w:val="32"/>
          <w:u w:val="wave"/>
        </w:rPr>
        <w:t xml:space="preserve">3.未经检验或检验不合格的食品及制品，超过保存期的食品； </w:t>
      </w:r>
    </w:p>
    <w:p>
      <w:pPr>
        <w:overflowPunct/>
        <w:adjustRightInd/>
        <w:snapToGrid/>
        <w:spacing w:line="560" w:lineRule="exact"/>
        <w:ind w:firstLine="640"/>
        <w:jc w:val="left"/>
        <w:rPr>
          <w:bCs/>
          <w:szCs w:val="32"/>
          <w:u w:val="wave"/>
        </w:rPr>
      </w:pPr>
      <w:r>
        <w:rPr>
          <w:bCs/>
          <w:szCs w:val="32"/>
          <w:u w:val="wave"/>
        </w:rPr>
        <w:t>4.病死、毒死或死因不明的禽、畜、兽、水产动物等及其制品；</w:t>
      </w:r>
    </w:p>
    <w:p>
      <w:pPr>
        <w:overflowPunct/>
        <w:adjustRightInd/>
        <w:snapToGrid/>
        <w:spacing w:line="560" w:lineRule="exact"/>
        <w:ind w:firstLine="640"/>
        <w:jc w:val="left"/>
        <w:rPr>
          <w:bCs/>
          <w:szCs w:val="32"/>
          <w:u w:val="wave"/>
        </w:rPr>
      </w:pPr>
      <w:r>
        <w:rPr>
          <w:bCs/>
          <w:szCs w:val="32"/>
          <w:u w:val="wave"/>
        </w:rPr>
        <w:t>5.掺假、掺杂、伪造、影响营养、卫生的含有未经国家卫生行政部门批准使用的添加剂、农药（残留）的。</w:t>
      </w:r>
    </w:p>
    <w:p>
      <w:pPr>
        <w:overflowPunct/>
        <w:adjustRightInd/>
        <w:snapToGrid/>
        <w:spacing w:line="560" w:lineRule="exact"/>
        <w:ind w:firstLine="643"/>
        <w:jc w:val="left"/>
        <w:rPr>
          <w:b/>
          <w:szCs w:val="32"/>
        </w:rPr>
      </w:pPr>
      <w:r>
        <w:rPr>
          <w:b/>
          <w:szCs w:val="32"/>
        </w:rPr>
        <w:t>（</w:t>
      </w:r>
      <w:r>
        <w:rPr>
          <w:rFonts w:hint="eastAsia"/>
          <w:b/>
          <w:szCs w:val="32"/>
        </w:rPr>
        <w:t>二</w:t>
      </w:r>
      <w:r>
        <w:rPr>
          <w:b/>
          <w:szCs w:val="32"/>
        </w:rPr>
        <w:t>）各类食品原料的技术指标：</w:t>
      </w:r>
    </w:p>
    <w:p>
      <w:pPr>
        <w:overflowPunct/>
        <w:adjustRightInd/>
        <w:snapToGrid/>
        <w:spacing w:line="560" w:lineRule="exact"/>
        <w:ind w:firstLine="640"/>
        <w:jc w:val="left"/>
        <w:rPr>
          <w:bCs/>
          <w:szCs w:val="32"/>
        </w:rPr>
      </w:pPr>
      <w:r>
        <w:rPr>
          <w:bCs/>
          <w:szCs w:val="32"/>
        </w:rPr>
        <w:t>1.水果类要求品质新鲜，果形端正，规格均匀，无畸形果，带果柄；果面新鲜洁净，无刺划伤，无压痕，无病虫害，农药残留不超标，需提供同批次农药残留检测合格证明。</w:t>
      </w:r>
    </w:p>
    <w:p>
      <w:pPr>
        <w:overflowPunct/>
        <w:adjustRightInd/>
        <w:snapToGrid/>
        <w:spacing w:line="560" w:lineRule="exact"/>
        <w:ind w:firstLine="640"/>
        <w:jc w:val="left"/>
        <w:rPr>
          <w:bCs/>
          <w:szCs w:val="32"/>
        </w:rPr>
      </w:pPr>
      <w:r>
        <w:rPr>
          <w:bCs/>
          <w:szCs w:val="32"/>
        </w:rPr>
        <w:t>2.蔬菜类要求品质新鲜，规格均匀，无黄叶，无泥，无干瘪，无腐烂，无损伤，无虫害，无病斑。农药残留不超标，需提供同批次农药残留检测合格证明。</w:t>
      </w:r>
    </w:p>
    <w:p>
      <w:pPr>
        <w:overflowPunct/>
        <w:adjustRightInd/>
        <w:snapToGrid/>
        <w:spacing w:line="560" w:lineRule="exact"/>
        <w:ind w:firstLine="640"/>
        <w:jc w:val="left"/>
        <w:rPr>
          <w:bCs/>
          <w:szCs w:val="32"/>
        </w:rPr>
      </w:pPr>
      <w:r>
        <w:rPr>
          <w:bCs/>
          <w:szCs w:val="32"/>
        </w:rPr>
        <w:t>3.肉类要求品质新鲜，皮肤有光泽，色泽正常，肌肉结实而有弹性、无变质，无注水，无异味、无毛、按压无水迹。产品合格，需提供同批次动物检疫合格证明。蛋类要求品质新鲜，出栏到供货不超过7天。绿色、有机、无公害，需有清洁包装。无破损、有光泽、透光性好，不见或略见蛋黄暗影，气室小，内无斑点或斑块。</w:t>
      </w:r>
    </w:p>
    <w:p>
      <w:pPr>
        <w:overflowPunct/>
        <w:adjustRightInd/>
        <w:snapToGrid/>
        <w:spacing w:line="560" w:lineRule="exact"/>
        <w:ind w:firstLine="640"/>
        <w:jc w:val="left"/>
        <w:rPr>
          <w:bCs/>
          <w:szCs w:val="32"/>
        </w:rPr>
      </w:pPr>
      <w:r>
        <w:rPr>
          <w:bCs/>
          <w:szCs w:val="32"/>
        </w:rPr>
        <w:t>4.水产类要求品质新鲜、规格均匀，无杂物，无异味。</w:t>
      </w:r>
    </w:p>
    <w:p>
      <w:pPr>
        <w:overflowPunct/>
        <w:adjustRightInd/>
        <w:snapToGrid/>
        <w:spacing w:line="560" w:lineRule="exact"/>
        <w:ind w:firstLine="640"/>
        <w:jc w:val="left"/>
        <w:rPr>
          <w:bCs/>
          <w:szCs w:val="32"/>
        </w:rPr>
      </w:pPr>
      <w:r>
        <w:rPr>
          <w:bCs/>
          <w:szCs w:val="32"/>
        </w:rPr>
        <w:t>5.零食类要求包装完整、无任何破损、无挤压、无异味、无任何表面附着物或衍生物，且包装上的商品名称、厂址、规格等与内容物相符，</w:t>
      </w:r>
      <w:r>
        <w:rPr>
          <w:rFonts w:hint="eastAsia"/>
          <w:bCs/>
          <w:szCs w:val="32"/>
        </w:rPr>
        <w:t>标识</w:t>
      </w:r>
      <w:r>
        <w:rPr>
          <w:bCs/>
          <w:szCs w:val="32"/>
        </w:rPr>
        <w:t>清晰、批次清楚，生产日期不超过保质期的二分之一。</w:t>
      </w:r>
    </w:p>
    <w:p>
      <w:pPr>
        <w:overflowPunct/>
        <w:adjustRightInd/>
        <w:snapToGrid/>
        <w:spacing w:line="560" w:lineRule="exact"/>
        <w:ind w:firstLine="640"/>
        <w:jc w:val="left"/>
        <w:rPr>
          <w:bCs/>
          <w:szCs w:val="32"/>
        </w:rPr>
      </w:pPr>
      <w:r>
        <w:rPr>
          <w:bCs/>
          <w:szCs w:val="32"/>
        </w:rPr>
        <w:t>6.乳品类要求品质新鲜，包装完整、无任何破损、无挤压、无异味、无任何表面附着物或衍生物，且包装上的商品名称、厂址、规格等与内容物相符，</w:t>
      </w:r>
      <w:r>
        <w:rPr>
          <w:rFonts w:hint="eastAsia"/>
          <w:bCs/>
          <w:szCs w:val="32"/>
        </w:rPr>
        <w:t>标识</w:t>
      </w:r>
      <w:r>
        <w:rPr>
          <w:bCs/>
          <w:szCs w:val="32"/>
        </w:rPr>
        <w:t>清晰、批次清楚，生产日期不超过保质期的二分之一。</w:t>
      </w:r>
    </w:p>
    <w:p>
      <w:pPr>
        <w:overflowPunct/>
        <w:adjustRightInd/>
        <w:snapToGrid/>
        <w:spacing w:line="560" w:lineRule="exact"/>
        <w:ind w:firstLine="640"/>
        <w:jc w:val="left"/>
        <w:rPr>
          <w:bCs/>
          <w:szCs w:val="32"/>
        </w:rPr>
      </w:pPr>
      <w:r>
        <w:rPr>
          <w:bCs/>
          <w:szCs w:val="32"/>
        </w:rPr>
        <w:t>7.米面干货要包装完整、无任何破损、无挤压、无异味、无任何表面附着物或衍生物，且包装上的商品名称、厂址、规格等与内容物相符，</w:t>
      </w:r>
      <w:r>
        <w:rPr>
          <w:rFonts w:hint="eastAsia"/>
          <w:bCs/>
          <w:szCs w:val="32"/>
        </w:rPr>
        <w:t>标识</w:t>
      </w:r>
      <w:r>
        <w:rPr>
          <w:bCs/>
          <w:szCs w:val="32"/>
        </w:rPr>
        <w:t>清晰、批次清楚，生产日期不超过保质期的二分之一。</w:t>
      </w:r>
    </w:p>
    <w:p>
      <w:pPr>
        <w:overflowPunct/>
        <w:adjustRightInd/>
        <w:snapToGrid/>
        <w:spacing w:line="560" w:lineRule="exact"/>
        <w:ind w:firstLine="640"/>
        <w:jc w:val="left"/>
        <w:rPr>
          <w:bCs/>
          <w:szCs w:val="32"/>
        </w:rPr>
      </w:pPr>
      <w:r>
        <w:rPr>
          <w:bCs/>
          <w:szCs w:val="32"/>
        </w:rPr>
        <w:t>8油调味品类要包装完整、无任何破损、无挤压、无异味、无任何表面附着物或衍生物，且包装上的商品名称、厂址、规格等与内容物相符，</w:t>
      </w:r>
      <w:r>
        <w:rPr>
          <w:rFonts w:hint="eastAsia"/>
          <w:bCs/>
          <w:szCs w:val="32"/>
        </w:rPr>
        <w:t>标识</w:t>
      </w:r>
      <w:r>
        <w:rPr>
          <w:bCs/>
          <w:szCs w:val="32"/>
        </w:rPr>
        <w:t>清晰、批次清楚，生产日期不超过保质期的二分之一。</w:t>
      </w:r>
    </w:p>
    <w:p>
      <w:pPr>
        <w:overflowPunct/>
        <w:adjustRightInd/>
        <w:snapToGrid/>
        <w:spacing w:line="560" w:lineRule="exact"/>
        <w:ind w:firstLine="640"/>
        <w:jc w:val="left"/>
        <w:rPr>
          <w:bCs/>
          <w:szCs w:val="32"/>
        </w:rPr>
      </w:pPr>
      <w:r>
        <w:rPr>
          <w:bCs/>
          <w:szCs w:val="32"/>
        </w:rPr>
        <w:t>9.速冻食品类要求包装完整、无任何破损、无挤压、无异味、无任何表面附着物或衍生物，且包装上的商品名称、厂址、规格等与内容物相符，</w:t>
      </w:r>
      <w:r>
        <w:rPr>
          <w:rFonts w:hint="eastAsia"/>
          <w:bCs/>
          <w:szCs w:val="32"/>
        </w:rPr>
        <w:t>标识</w:t>
      </w:r>
      <w:r>
        <w:rPr>
          <w:bCs/>
          <w:szCs w:val="32"/>
        </w:rPr>
        <w:t>清晰、批次清楚，生产日期不超过保质期的二分之一。</w:t>
      </w:r>
    </w:p>
    <w:p>
      <w:pPr>
        <w:overflowPunct/>
        <w:adjustRightInd/>
        <w:snapToGrid/>
        <w:spacing w:line="560" w:lineRule="exact"/>
        <w:ind w:firstLine="640"/>
        <w:jc w:val="left"/>
        <w:rPr>
          <w:bCs/>
          <w:szCs w:val="32"/>
        </w:rPr>
      </w:pPr>
      <w:r>
        <w:rPr>
          <w:bCs/>
          <w:szCs w:val="32"/>
        </w:rPr>
        <w:t>10.水饮类要求包装完整、无任何破损、无挤压、无异味、无任何表面附着物或衍生物，且包装上的商品名称、厂址、规格等与内容物相符，</w:t>
      </w:r>
      <w:r>
        <w:rPr>
          <w:rFonts w:hint="eastAsia"/>
          <w:bCs/>
          <w:szCs w:val="32"/>
        </w:rPr>
        <w:t>标识</w:t>
      </w:r>
      <w:r>
        <w:rPr>
          <w:bCs/>
          <w:szCs w:val="32"/>
        </w:rPr>
        <w:t>清晰、批次清楚，生产日期不超过保质期的二分之一。</w:t>
      </w:r>
    </w:p>
    <w:p>
      <w:pPr>
        <w:overflowPunct/>
        <w:adjustRightInd/>
        <w:snapToGrid/>
        <w:spacing w:line="560" w:lineRule="exact"/>
        <w:ind w:firstLine="640"/>
        <w:jc w:val="left"/>
        <w:rPr>
          <w:bCs/>
          <w:szCs w:val="32"/>
        </w:rPr>
      </w:pPr>
      <w:r>
        <w:rPr>
          <w:bCs/>
          <w:szCs w:val="32"/>
        </w:rPr>
        <w:t>11.猪肉、牛肉、鲜（冻）鸡鸭等必须具有动物检验检疫合格证明；</w:t>
      </w:r>
    </w:p>
    <w:p>
      <w:pPr>
        <w:overflowPunct/>
        <w:adjustRightInd/>
        <w:snapToGrid/>
        <w:spacing w:line="560" w:lineRule="exact"/>
        <w:ind w:firstLine="640"/>
        <w:jc w:val="left"/>
        <w:rPr>
          <w:bCs/>
          <w:szCs w:val="32"/>
        </w:rPr>
      </w:pPr>
      <w:r>
        <w:rPr>
          <w:bCs/>
          <w:szCs w:val="32"/>
        </w:rPr>
        <w:t>12.大豆油必须符合GB1536-2018《食用大豆油》标准，并拥有食品生产许可证编号；</w:t>
      </w:r>
    </w:p>
    <w:p>
      <w:pPr>
        <w:overflowPunct/>
        <w:adjustRightInd/>
        <w:snapToGrid/>
        <w:spacing w:line="560" w:lineRule="exact"/>
        <w:ind w:firstLine="640"/>
        <w:jc w:val="left"/>
        <w:rPr>
          <w:bCs/>
          <w:szCs w:val="32"/>
        </w:rPr>
      </w:pPr>
      <w:r>
        <w:rPr>
          <w:bCs/>
          <w:szCs w:val="32"/>
        </w:rPr>
        <w:t>13.面粉必须符合《GB/T1355-2021小麦粉》标准，并拥有食品生产许可证编号；</w:t>
      </w:r>
    </w:p>
    <w:p>
      <w:pPr>
        <w:overflowPunct/>
        <w:adjustRightInd/>
        <w:snapToGrid/>
        <w:spacing w:line="560" w:lineRule="exact"/>
        <w:ind w:firstLine="640"/>
        <w:jc w:val="left"/>
        <w:rPr>
          <w:bCs/>
          <w:szCs w:val="32"/>
        </w:rPr>
      </w:pPr>
      <w:r>
        <w:rPr>
          <w:bCs/>
          <w:szCs w:val="32"/>
        </w:rPr>
        <w:t>14.糖、味精、酱油、醋、生粉等调味品必须具有食品生产许可证编号；</w:t>
      </w:r>
    </w:p>
    <w:p>
      <w:pPr>
        <w:overflowPunct/>
        <w:adjustRightInd/>
        <w:snapToGrid/>
        <w:spacing w:line="560" w:lineRule="exact"/>
        <w:ind w:firstLine="640"/>
        <w:jc w:val="left"/>
        <w:rPr>
          <w:bCs/>
          <w:szCs w:val="32"/>
        </w:rPr>
      </w:pPr>
      <w:r>
        <w:rPr>
          <w:bCs/>
          <w:szCs w:val="32"/>
        </w:rPr>
        <w:t>15.豆制品、半成品符合食品卫生安全法要求；</w:t>
      </w:r>
    </w:p>
    <w:p>
      <w:pPr>
        <w:overflowPunct/>
        <w:adjustRightInd/>
        <w:snapToGrid/>
        <w:spacing w:line="560" w:lineRule="exact"/>
        <w:ind w:firstLine="640"/>
        <w:jc w:val="left"/>
        <w:rPr>
          <w:bCs/>
          <w:szCs w:val="32"/>
        </w:rPr>
      </w:pPr>
      <w:r>
        <w:rPr>
          <w:bCs/>
          <w:szCs w:val="32"/>
        </w:rPr>
        <w:t>16.禽蛋、蔬菜必须保证新鲜、干净无泥土且符合食品卫生安全法要求；</w:t>
      </w:r>
    </w:p>
    <w:p>
      <w:pPr>
        <w:overflowPunct/>
        <w:adjustRightInd/>
        <w:snapToGrid/>
        <w:spacing w:line="560" w:lineRule="exact"/>
        <w:ind w:firstLine="640"/>
        <w:jc w:val="left"/>
        <w:rPr>
          <w:bCs/>
          <w:szCs w:val="32"/>
        </w:rPr>
      </w:pPr>
      <w:r>
        <w:rPr>
          <w:bCs/>
          <w:szCs w:val="32"/>
        </w:rPr>
        <w:t>17.大米必须符合《大米》（GB/T 1354-2018）标准，并拥有食品生产许可证编号。</w:t>
      </w:r>
    </w:p>
    <w:p>
      <w:pPr>
        <w:overflowPunct/>
        <w:adjustRightInd/>
        <w:snapToGrid/>
        <w:spacing w:line="560" w:lineRule="exact"/>
        <w:ind w:firstLine="640"/>
        <w:jc w:val="left"/>
        <w:rPr>
          <w:bCs/>
          <w:szCs w:val="32"/>
        </w:rPr>
      </w:pPr>
      <w:r>
        <w:rPr>
          <w:bCs/>
          <w:szCs w:val="32"/>
        </w:rPr>
        <w:t>18.整体要求：中标人提供的产品必须为知名品牌，符合食品安全国家标准、技术标准以及相关法律法规。必须如实提供产品的名称、产地、厂名、生产日期、保质期和中文标识，上述信息缺一不可。米面油供货时按国家标准提供产品的检验报告及食品包装材料的检验报告，非陈化米，非抛光米；米粒要饱满，三刨，果粒没有生霉，无其他杂质、碎米等。特制粉色白质细，含麸量低，灰量很少；标准粉含麸量高于特制粉，色稍带黄；普通粉高于标准粉，色泽较黄。食用油无酸败、焦糊及其它异味，不含异物；不得提供转基因食用油。鸡蛋不得含有国家禁止添加的添加剂、农药、激素、兴奋剂等，食品添加剂、农残不得超过国家限量标准。</w:t>
      </w:r>
    </w:p>
    <w:p>
      <w:pPr>
        <w:numPr>
          <w:ilvl w:val="0"/>
          <w:numId w:val="6"/>
        </w:numPr>
        <w:overflowPunct/>
        <w:adjustRightInd/>
        <w:snapToGrid/>
        <w:spacing w:line="560" w:lineRule="exact"/>
        <w:ind w:firstLine="640"/>
        <w:jc w:val="left"/>
        <w:rPr>
          <w:bCs/>
          <w:szCs w:val="32"/>
        </w:rPr>
      </w:pPr>
      <w:r>
        <w:rPr>
          <w:bCs/>
          <w:szCs w:val="32"/>
        </w:rPr>
        <w:t>已验收入库的货物，除采购人储存不当等自身原因外，在采购人使用过程中发现的质量不合格品，投标人仍承担全部质量保证责任，并及时配合采购人采取有效措施予以全部免费更换，以满足正常生产的需要，相关费用由投标人承担；否则采购人有权另行采购其他同类产品，由此造成的包括但不限于人工费、运输费、产品价格差额等损失均由投标人承担。</w:t>
      </w:r>
    </w:p>
    <w:p>
      <w:pPr>
        <w:overflowPunct/>
        <w:adjustRightInd/>
        <w:snapToGrid/>
        <w:spacing w:line="560" w:lineRule="exact"/>
        <w:ind w:firstLine="0" w:firstLineChars="0"/>
        <w:jc w:val="left"/>
        <w:rPr>
          <w:b/>
          <w:bCs/>
          <w:szCs w:val="32"/>
        </w:rPr>
      </w:pPr>
      <w:r>
        <w:rPr>
          <w:b/>
          <w:bCs/>
          <w:szCs w:val="32"/>
        </w:rPr>
        <w:t>……（各地根据需求自行确定）（招标人</w:t>
      </w:r>
      <w:r>
        <w:rPr>
          <w:b/>
          <w:bCs/>
          <w:szCs w:val="32"/>
          <w:lang w:val="zh-CN"/>
        </w:rPr>
        <w:t>所需的具体货物质量要求标准以</w:t>
      </w:r>
      <w:r>
        <w:rPr>
          <w:b/>
          <w:bCs/>
          <w:szCs w:val="32"/>
        </w:rPr>
        <w:t>招标人实际</w:t>
      </w:r>
      <w:r>
        <w:rPr>
          <w:b/>
          <w:bCs/>
          <w:szCs w:val="32"/>
          <w:lang w:val="zh-CN"/>
        </w:rPr>
        <w:t>需求为准。</w:t>
      </w:r>
      <w:r>
        <w:rPr>
          <w:b/>
          <w:bCs/>
          <w:szCs w:val="32"/>
        </w:rPr>
        <w:t>）</w:t>
      </w:r>
    </w:p>
    <w:p>
      <w:pPr>
        <w:overflowPunct/>
        <w:adjustRightInd/>
        <w:snapToGrid/>
        <w:spacing w:line="560" w:lineRule="exact"/>
        <w:ind w:firstLine="643"/>
        <w:jc w:val="left"/>
        <w:rPr>
          <w:b/>
          <w:szCs w:val="32"/>
        </w:rPr>
      </w:pPr>
      <w:r>
        <w:rPr>
          <w:b/>
          <w:szCs w:val="32"/>
        </w:rPr>
        <w:t>（</w:t>
      </w:r>
      <w:r>
        <w:rPr>
          <w:rFonts w:hint="eastAsia"/>
          <w:b/>
          <w:szCs w:val="32"/>
        </w:rPr>
        <w:t>三</w:t>
      </w:r>
      <w:r>
        <w:rPr>
          <w:b/>
          <w:szCs w:val="32"/>
        </w:rPr>
        <w:t>）食材配送要求</w:t>
      </w:r>
    </w:p>
    <w:p>
      <w:pPr>
        <w:overflowPunct/>
        <w:adjustRightInd/>
        <w:snapToGrid/>
        <w:spacing w:line="560" w:lineRule="exact"/>
        <w:ind w:firstLine="640"/>
        <w:jc w:val="left"/>
        <w:rPr>
          <w:bCs/>
          <w:szCs w:val="32"/>
        </w:rPr>
      </w:pPr>
      <w:r>
        <w:rPr>
          <w:bCs/>
          <w:szCs w:val="32"/>
        </w:rPr>
        <w:t>1.投标人必须明确送货人、固定车辆，认真履行配送职责。根据采购人采购计划（含品牌、数量、规格等），按时、保质、保量将食品原材料送到采购人指定地点。投标人将货物运至指定地点后，应及时通知采购人收货。收货时，采购人发现货物包装有破损、有明显毁坏或数量、品种、品质等与双方约定有差异的，有权拒绝收货，且投标人须在规定的时间内重新供货，同时不得影响采购人食堂准时开饭。</w:t>
      </w:r>
    </w:p>
    <w:p>
      <w:pPr>
        <w:overflowPunct/>
        <w:adjustRightInd/>
        <w:snapToGrid/>
        <w:spacing w:line="560" w:lineRule="exact"/>
        <w:ind w:firstLine="640"/>
        <w:jc w:val="left"/>
        <w:rPr>
          <w:bCs/>
          <w:szCs w:val="32"/>
        </w:rPr>
      </w:pPr>
      <w:r>
        <w:rPr>
          <w:bCs/>
          <w:szCs w:val="32"/>
        </w:rPr>
        <w:t>2.中标人随货须提供所有产品足额、足量的有效检测报告或检验单原件，有特殊要求的产品，须按相关规定提供产品合格证明或动物产品检疫合格证明等。</w:t>
      </w:r>
    </w:p>
    <w:p>
      <w:pPr>
        <w:overflowPunct/>
        <w:adjustRightInd/>
        <w:snapToGrid/>
        <w:spacing w:line="560" w:lineRule="exact"/>
        <w:ind w:firstLine="640"/>
        <w:jc w:val="left"/>
        <w:rPr>
          <w:bCs/>
          <w:szCs w:val="32"/>
        </w:rPr>
      </w:pPr>
      <w:r>
        <w:rPr>
          <w:bCs/>
          <w:szCs w:val="32"/>
        </w:rPr>
        <w:t>3.预包装食品要求所有产品为原厂原包装，标识清楚、齐全，需标有名称、规格、净含量、成分及配料表、生产厂家、生产日期、保质期限、生产许可证号、贮藏条件、生产地址、联系方式等。对于原厂定型包装的商品在使用前或打开包装后发现质量有问题的，中标人必须无条件接受退换货，并及时补齐。对于极少用量的非标准包装食品按市场监管部门要求执行。</w:t>
      </w:r>
    </w:p>
    <w:p>
      <w:pPr>
        <w:overflowPunct/>
        <w:adjustRightInd/>
        <w:snapToGrid/>
        <w:spacing w:line="560" w:lineRule="exact"/>
        <w:ind w:firstLine="640"/>
        <w:jc w:val="left"/>
        <w:rPr>
          <w:bCs/>
          <w:szCs w:val="32"/>
        </w:rPr>
      </w:pPr>
      <w:r>
        <w:rPr>
          <w:bCs/>
          <w:szCs w:val="32"/>
        </w:rPr>
        <w:t>4.学校所需的食材，中标人在供货期间必须按照</w:t>
      </w:r>
      <w:r>
        <w:rPr>
          <w:rFonts w:hint="eastAsia"/>
          <w:bCs/>
          <w:szCs w:val="32"/>
        </w:rPr>
        <w:t>“阳光食堂”平台</w:t>
      </w:r>
      <w:r>
        <w:rPr>
          <w:bCs/>
          <w:szCs w:val="32"/>
        </w:rPr>
        <w:t>上填报的价格供货，即使市场物价变化也不调整。如因不可抗拒的原因导致单一品种市场价格在三个月内发生较大变化，其临时性价格调整由区学校食堂招投标工作组商议后确定。</w:t>
      </w:r>
    </w:p>
    <w:p>
      <w:pPr>
        <w:overflowPunct/>
        <w:adjustRightInd/>
        <w:snapToGrid/>
        <w:spacing w:line="560" w:lineRule="exact"/>
        <w:ind w:firstLine="640"/>
        <w:jc w:val="left"/>
        <w:rPr>
          <w:bCs/>
          <w:szCs w:val="32"/>
        </w:rPr>
      </w:pPr>
      <w:r>
        <w:rPr>
          <w:bCs/>
          <w:szCs w:val="32"/>
        </w:rPr>
        <w:t xml:space="preserve">5.中标人在食品原材料配送过程中，一旦发生质量问题，按协议约定扣除相应数额履约保证金，直至终止供货合同。并报市场监管部门予以处罚。 </w:t>
      </w:r>
    </w:p>
    <w:p>
      <w:pPr>
        <w:overflowPunct/>
        <w:adjustRightInd/>
        <w:snapToGrid/>
        <w:spacing w:line="560" w:lineRule="exact"/>
        <w:ind w:firstLine="640"/>
        <w:jc w:val="left"/>
        <w:rPr>
          <w:bCs/>
          <w:szCs w:val="32"/>
        </w:rPr>
      </w:pPr>
      <w:r>
        <w:rPr>
          <w:bCs/>
          <w:szCs w:val="32"/>
        </w:rPr>
        <w:t>6.中标人每天的所有食材配送均必须是从接受现场考察的实际固定经营场所出发，该场所内部应实现摄像头无死角全覆盖且存储时间不少于30天。</w:t>
      </w:r>
    </w:p>
    <w:p>
      <w:pPr>
        <w:overflowPunct/>
        <w:adjustRightInd/>
        <w:snapToGrid/>
        <w:spacing w:line="560" w:lineRule="exact"/>
        <w:ind w:firstLine="640"/>
        <w:jc w:val="left"/>
        <w:rPr>
          <w:bCs/>
          <w:szCs w:val="32"/>
        </w:rPr>
      </w:pPr>
      <w:r>
        <w:rPr>
          <w:bCs/>
          <w:szCs w:val="32"/>
        </w:rPr>
        <w:t>7.中标人使用的运输车辆必须装有定位系统并能实时查看运行轨迹，车厢内部必须安装摄像头并与办公系统联网，存储时间不少于30天。</w:t>
      </w:r>
    </w:p>
    <w:p>
      <w:pPr>
        <w:overflowPunct/>
        <w:adjustRightInd/>
        <w:snapToGrid/>
        <w:spacing w:line="560" w:lineRule="exact"/>
        <w:ind w:firstLine="640"/>
        <w:jc w:val="left"/>
        <w:rPr>
          <w:bCs/>
          <w:szCs w:val="32"/>
          <w:u w:val="wave"/>
        </w:rPr>
      </w:pPr>
      <w:r>
        <w:rPr>
          <w:bCs/>
          <w:szCs w:val="32"/>
          <w:u w:val="wave"/>
        </w:rPr>
        <w:t>8.</w:t>
      </w:r>
      <w:r>
        <w:rPr>
          <w:rFonts w:hint="eastAsia"/>
          <w:bCs/>
          <w:szCs w:val="32"/>
          <w:u w:val="wave"/>
        </w:rPr>
        <w:t>中标人在实际供货时的送货车辆</w:t>
      </w:r>
      <w:r>
        <w:rPr>
          <w:bCs/>
          <w:szCs w:val="32"/>
          <w:u w:val="wave"/>
        </w:rPr>
        <w:t>须与</w:t>
      </w:r>
      <w:r>
        <w:rPr>
          <w:rFonts w:hint="eastAsia"/>
          <w:bCs/>
          <w:szCs w:val="32"/>
          <w:u w:val="wave"/>
        </w:rPr>
        <w:t>资格审查</w:t>
      </w:r>
      <w:r>
        <w:rPr>
          <w:bCs/>
          <w:szCs w:val="32"/>
          <w:u w:val="wave"/>
        </w:rPr>
        <w:t>时确定的车辆一致，如果因出现维修等故障原因，或新购车辆的，需向所属招标工作小组出具相关证明，经审核通过后，重新确定</w:t>
      </w:r>
      <w:r>
        <w:rPr>
          <w:rFonts w:hint="eastAsia"/>
          <w:bCs/>
          <w:szCs w:val="32"/>
          <w:u w:val="wave"/>
        </w:rPr>
        <w:t>运输能力值</w:t>
      </w:r>
      <w:r>
        <w:rPr>
          <w:bCs/>
          <w:szCs w:val="32"/>
          <w:u w:val="wave"/>
        </w:rPr>
        <w:t>，此类情况在一学年内最多只允许发生一次，否则不予签订下</w:t>
      </w:r>
      <w:r>
        <w:rPr>
          <w:rFonts w:hint="eastAsia"/>
          <w:bCs/>
          <w:szCs w:val="32"/>
          <w:u w:val="wave"/>
        </w:rPr>
        <w:t>一周期</w:t>
      </w:r>
      <w:r>
        <w:rPr>
          <w:bCs/>
          <w:szCs w:val="32"/>
          <w:u w:val="wave"/>
        </w:rPr>
        <w:t>供货合同。</w:t>
      </w:r>
      <w:r>
        <w:rPr>
          <w:rFonts w:hint="eastAsia"/>
          <w:bCs/>
          <w:szCs w:val="32"/>
          <w:u w:val="wave"/>
        </w:rPr>
        <w:t>供货开始前，中标人所用车辆及人员信息须在学校进行备案，若发现与资格审查时确定的车辆不一致</w:t>
      </w:r>
      <w:r>
        <w:rPr>
          <w:bCs/>
          <w:szCs w:val="32"/>
          <w:u w:val="wave"/>
        </w:rPr>
        <w:t>则视作自动放弃本次供货资格处理，不予签订合同，其拟服务的学校由采购人调剂给其他</w:t>
      </w:r>
      <w:r>
        <w:rPr>
          <w:rFonts w:hint="eastAsia"/>
          <w:bCs/>
          <w:szCs w:val="32"/>
          <w:u w:val="wave"/>
        </w:rPr>
        <w:t>资格审查</w:t>
      </w:r>
      <w:r>
        <w:rPr>
          <w:bCs/>
          <w:szCs w:val="32"/>
          <w:u w:val="wave"/>
        </w:rPr>
        <w:t xml:space="preserve">通过的投标人执行。 </w:t>
      </w:r>
    </w:p>
    <w:p>
      <w:pPr>
        <w:overflowPunct/>
        <w:adjustRightInd/>
        <w:snapToGrid/>
        <w:spacing w:line="560" w:lineRule="exact"/>
        <w:ind w:firstLine="643"/>
        <w:jc w:val="left"/>
        <w:rPr>
          <w:b/>
          <w:szCs w:val="32"/>
        </w:rPr>
      </w:pPr>
      <w:r>
        <w:rPr>
          <w:b/>
          <w:szCs w:val="32"/>
        </w:rPr>
        <w:t>（</w:t>
      </w:r>
      <w:r>
        <w:rPr>
          <w:rFonts w:hint="eastAsia"/>
          <w:b/>
          <w:szCs w:val="32"/>
        </w:rPr>
        <w:t>四</w:t>
      </w:r>
      <w:r>
        <w:rPr>
          <w:b/>
          <w:szCs w:val="32"/>
        </w:rPr>
        <w:t>）包装和运输要求</w:t>
      </w:r>
    </w:p>
    <w:p>
      <w:pPr>
        <w:overflowPunct/>
        <w:adjustRightInd/>
        <w:snapToGrid/>
        <w:spacing w:line="560" w:lineRule="exact"/>
        <w:ind w:firstLine="640"/>
        <w:jc w:val="left"/>
        <w:rPr>
          <w:bCs/>
          <w:szCs w:val="32"/>
        </w:rPr>
      </w:pPr>
      <w:r>
        <w:rPr>
          <w:bCs/>
          <w:szCs w:val="32"/>
        </w:rPr>
        <w:t>1.包装要求</w:t>
      </w:r>
    </w:p>
    <w:p>
      <w:pPr>
        <w:overflowPunct/>
        <w:adjustRightInd/>
        <w:snapToGrid/>
        <w:spacing w:line="560" w:lineRule="exact"/>
        <w:ind w:firstLine="640"/>
        <w:jc w:val="left"/>
        <w:rPr>
          <w:bCs/>
          <w:szCs w:val="32"/>
        </w:rPr>
      </w:pPr>
      <w:r>
        <w:rPr>
          <w:bCs/>
          <w:szCs w:val="32"/>
        </w:rPr>
        <w:t>1.1包装应符合相应卫生标准的包装材料；</w:t>
      </w:r>
    </w:p>
    <w:p>
      <w:pPr>
        <w:overflowPunct/>
        <w:adjustRightInd/>
        <w:snapToGrid/>
        <w:spacing w:line="560" w:lineRule="exact"/>
        <w:ind w:firstLine="640"/>
        <w:jc w:val="left"/>
        <w:rPr>
          <w:bCs/>
          <w:szCs w:val="32"/>
        </w:rPr>
      </w:pPr>
      <w:r>
        <w:rPr>
          <w:bCs/>
          <w:szCs w:val="32"/>
        </w:rPr>
        <w:t>1.2若采用包装袋，则包装袋应坚固结实，封口应严密；</w:t>
      </w:r>
    </w:p>
    <w:p>
      <w:pPr>
        <w:overflowPunct/>
        <w:adjustRightInd/>
        <w:snapToGrid/>
        <w:spacing w:line="560" w:lineRule="exact"/>
        <w:ind w:firstLine="640"/>
        <w:jc w:val="left"/>
        <w:rPr>
          <w:bCs/>
          <w:szCs w:val="32"/>
        </w:rPr>
      </w:pPr>
      <w:r>
        <w:rPr>
          <w:bCs/>
          <w:szCs w:val="32"/>
        </w:rPr>
        <w:t>1.3包装箱完整无损，箱体上有明确的品牌、生产厂家、厂址、生产日期、产品规格等，供货时剩余保质期不少于整个保质期的二分之一。</w:t>
      </w:r>
    </w:p>
    <w:p>
      <w:pPr>
        <w:overflowPunct/>
        <w:adjustRightInd/>
        <w:snapToGrid/>
        <w:spacing w:line="560" w:lineRule="exact"/>
        <w:ind w:firstLine="640"/>
        <w:jc w:val="left"/>
        <w:rPr>
          <w:bCs/>
          <w:szCs w:val="32"/>
        </w:rPr>
      </w:pPr>
      <w:r>
        <w:rPr>
          <w:bCs/>
          <w:szCs w:val="32"/>
        </w:rPr>
        <w:t>2.储存和运输要求</w:t>
      </w:r>
    </w:p>
    <w:p>
      <w:pPr>
        <w:overflowPunct/>
        <w:adjustRightInd/>
        <w:snapToGrid/>
        <w:spacing w:line="560" w:lineRule="exact"/>
        <w:ind w:firstLine="640"/>
        <w:jc w:val="left"/>
        <w:rPr>
          <w:bCs/>
          <w:szCs w:val="32"/>
        </w:rPr>
      </w:pPr>
      <w:r>
        <w:rPr>
          <w:bCs/>
          <w:szCs w:val="32"/>
        </w:rPr>
        <w:t>2.1应储存在卫生、阴凉、干燥、避光的地方、不得与有害、有毒物品一同存放。</w:t>
      </w:r>
    </w:p>
    <w:p>
      <w:pPr>
        <w:overflowPunct/>
        <w:adjustRightInd/>
        <w:snapToGrid/>
        <w:spacing w:line="560" w:lineRule="exact"/>
        <w:ind w:firstLine="640"/>
        <w:jc w:val="left"/>
        <w:rPr>
          <w:bCs/>
          <w:szCs w:val="32"/>
        </w:rPr>
      </w:pPr>
      <w:r>
        <w:rPr>
          <w:bCs/>
          <w:szCs w:val="32"/>
        </w:rPr>
        <w:t>2.2运输中应注意安全，防止日晒、雨淋、渗漏、污染和标签脱落。保持车辆内外的清洁、卫生。不得使用装运过有毒、有害物质的车辆。</w:t>
      </w:r>
    </w:p>
    <w:p>
      <w:pPr>
        <w:overflowPunct/>
        <w:adjustRightInd/>
        <w:snapToGrid/>
        <w:spacing w:line="560" w:lineRule="exact"/>
        <w:ind w:firstLine="640"/>
        <w:jc w:val="left"/>
        <w:rPr>
          <w:bCs/>
          <w:szCs w:val="32"/>
        </w:rPr>
      </w:pPr>
      <w:r>
        <w:rPr>
          <w:bCs/>
          <w:szCs w:val="32"/>
        </w:rPr>
        <w:t>2.3全程使用运输车辆配送，保证食材的卫生与安全。</w:t>
      </w:r>
    </w:p>
    <w:p>
      <w:pPr>
        <w:overflowPunct/>
        <w:adjustRightInd/>
        <w:snapToGrid/>
        <w:spacing w:line="560" w:lineRule="exact"/>
        <w:ind w:firstLine="643"/>
        <w:jc w:val="left"/>
        <w:rPr>
          <w:b/>
          <w:szCs w:val="32"/>
        </w:rPr>
      </w:pPr>
      <w:r>
        <w:rPr>
          <w:b/>
          <w:szCs w:val="32"/>
        </w:rPr>
        <w:t>（</w:t>
      </w:r>
      <w:r>
        <w:rPr>
          <w:rFonts w:hint="eastAsia"/>
          <w:b/>
          <w:szCs w:val="32"/>
        </w:rPr>
        <w:t>五</w:t>
      </w:r>
      <w:r>
        <w:rPr>
          <w:b/>
          <w:szCs w:val="32"/>
        </w:rPr>
        <w:t>）验收要求</w:t>
      </w:r>
    </w:p>
    <w:p>
      <w:pPr>
        <w:overflowPunct/>
        <w:adjustRightInd/>
        <w:snapToGrid/>
        <w:spacing w:line="560" w:lineRule="exact"/>
        <w:ind w:firstLine="640"/>
        <w:jc w:val="left"/>
        <w:rPr>
          <w:bCs/>
          <w:szCs w:val="32"/>
        </w:rPr>
      </w:pPr>
      <w:r>
        <w:rPr>
          <w:bCs/>
          <w:szCs w:val="32"/>
        </w:rPr>
        <w:t>1.查验产品外包装、品牌、品名、净含量、规格、生产商名称地址、生产日期、保质期、储存方式、质量等级、加工工艺和食品生产许可证号等。</w:t>
      </w:r>
    </w:p>
    <w:p>
      <w:pPr>
        <w:overflowPunct/>
        <w:adjustRightInd/>
        <w:snapToGrid/>
        <w:spacing w:line="560" w:lineRule="exact"/>
        <w:ind w:firstLine="640"/>
        <w:jc w:val="left"/>
        <w:rPr>
          <w:bCs/>
          <w:szCs w:val="32"/>
        </w:rPr>
      </w:pPr>
      <w:r>
        <w:rPr>
          <w:bCs/>
          <w:szCs w:val="32"/>
        </w:rPr>
        <w:t>2.查验产品合格等相关证明。</w:t>
      </w:r>
    </w:p>
    <w:p>
      <w:pPr>
        <w:overflowPunct/>
        <w:adjustRightInd/>
        <w:snapToGrid/>
        <w:spacing w:line="560" w:lineRule="exact"/>
        <w:ind w:firstLine="640"/>
        <w:jc w:val="left"/>
        <w:rPr>
          <w:bCs/>
          <w:szCs w:val="32"/>
        </w:rPr>
      </w:pPr>
      <w:r>
        <w:rPr>
          <w:bCs/>
          <w:szCs w:val="32"/>
        </w:rPr>
        <w:t>3.核对投标人所配送的产品品牌、数量是否与发货单一致，确保准确无误。</w:t>
      </w:r>
    </w:p>
    <w:p>
      <w:pPr>
        <w:overflowPunct/>
        <w:adjustRightInd/>
        <w:snapToGrid/>
        <w:spacing w:line="560" w:lineRule="exact"/>
        <w:ind w:firstLine="643"/>
        <w:jc w:val="left"/>
        <w:rPr>
          <w:b/>
          <w:szCs w:val="32"/>
        </w:rPr>
      </w:pPr>
      <w:r>
        <w:rPr>
          <w:b/>
          <w:szCs w:val="32"/>
        </w:rPr>
        <w:t>（</w:t>
      </w:r>
      <w:r>
        <w:rPr>
          <w:rFonts w:hint="eastAsia"/>
          <w:b/>
          <w:szCs w:val="32"/>
        </w:rPr>
        <w:t>六</w:t>
      </w:r>
      <w:r>
        <w:rPr>
          <w:b/>
          <w:szCs w:val="32"/>
        </w:rPr>
        <w:t>）人员管理</w:t>
      </w:r>
    </w:p>
    <w:p>
      <w:pPr>
        <w:overflowPunct/>
        <w:adjustRightInd/>
        <w:snapToGrid/>
        <w:spacing w:line="560" w:lineRule="exact"/>
        <w:ind w:firstLine="640"/>
        <w:jc w:val="left"/>
        <w:rPr>
          <w:bCs/>
          <w:szCs w:val="32"/>
        </w:rPr>
      </w:pPr>
      <w:r>
        <w:rPr>
          <w:bCs/>
          <w:szCs w:val="32"/>
        </w:rPr>
        <w:t>1.在项目的实施中，中标人团队要具有一定食品安全法律知识及食品管理技能的专职人员，中标人须安排该公司正式员工按时配送，员工应身体健康，无传染性疾病，具备较强的沟通能力和临时紧急配送调换的处置能力。</w:t>
      </w:r>
    </w:p>
    <w:p>
      <w:pPr>
        <w:overflowPunct/>
        <w:adjustRightInd/>
        <w:snapToGrid/>
        <w:spacing w:line="560" w:lineRule="exact"/>
        <w:ind w:firstLine="640"/>
        <w:jc w:val="left"/>
        <w:rPr>
          <w:bCs/>
          <w:szCs w:val="32"/>
        </w:rPr>
      </w:pPr>
      <w:r>
        <w:rPr>
          <w:bCs/>
          <w:szCs w:val="32"/>
        </w:rPr>
        <w:t>2.中标人须建立健全食品安全管理制度和从业人员健康管理制度。加强对来采购人单位的工作人员的管理教育，需严格遵守采购人的管理规定，来采购人处工作人员应服从管理，不得私自在加工区域外逗留，不得有偷窃、夹带等违规情况，如经发现将严肃处理。</w:t>
      </w:r>
    </w:p>
    <w:p>
      <w:pPr>
        <w:overflowPunct/>
        <w:adjustRightInd/>
        <w:snapToGrid/>
        <w:spacing w:line="560" w:lineRule="exact"/>
        <w:ind w:firstLine="643"/>
        <w:jc w:val="left"/>
        <w:rPr>
          <w:b/>
          <w:szCs w:val="32"/>
        </w:rPr>
      </w:pPr>
      <w:r>
        <w:rPr>
          <w:b/>
          <w:szCs w:val="32"/>
        </w:rPr>
        <w:t>（</w:t>
      </w:r>
      <w:r>
        <w:rPr>
          <w:rFonts w:hint="eastAsia"/>
          <w:b/>
          <w:szCs w:val="32"/>
        </w:rPr>
        <w:t>七</w:t>
      </w:r>
      <w:r>
        <w:rPr>
          <w:b/>
          <w:szCs w:val="32"/>
        </w:rPr>
        <w:t>）安全责任要求</w:t>
      </w:r>
    </w:p>
    <w:p>
      <w:pPr>
        <w:overflowPunct/>
        <w:adjustRightInd/>
        <w:snapToGrid/>
        <w:spacing w:line="560" w:lineRule="exact"/>
        <w:ind w:firstLine="640"/>
        <w:jc w:val="left"/>
        <w:rPr>
          <w:bCs/>
          <w:szCs w:val="32"/>
          <w:lang w:val="zh-CN"/>
        </w:rPr>
      </w:pPr>
      <w:r>
        <w:rPr>
          <w:bCs/>
          <w:szCs w:val="32"/>
        </w:rPr>
        <w:t>中标人在供货过程中，如出现质量问题或保质期不足的情况，采购人有权拒绝接受所提供的物品或食品。若因食品质量问题导致的食品安全和食物中毒等事故（经市场监督管理、卫生防疫部门鉴定），由此造成的全部经济损失和法律责任由投标人承担全部责任，主要包括食物中毒人员医疗费、误工费、事故处理费等，直至追究刑事责任通过法律途径解决。同时采购人有权取消其供应资格。</w:t>
      </w:r>
    </w:p>
    <w:p>
      <w:pPr>
        <w:shd w:val="clear" w:color="auto" w:fill="FFFFFF"/>
        <w:overflowPunct/>
        <w:adjustRightInd/>
        <w:snapToGrid/>
        <w:spacing w:line="560" w:lineRule="exact"/>
        <w:ind w:firstLine="640"/>
        <w:rPr>
          <w:rFonts w:eastAsia="黑体"/>
          <w:szCs w:val="32"/>
        </w:rPr>
      </w:pPr>
      <w:r>
        <w:rPr>
          <w:rFonts w:eastAsia="黑体"/>
          <w:szCs w:val="32"/>
        </w:rPr>
        <w:t>五、服务期限</w:t>
      </w:r>
    </w:p>
    <w:p>
      <w:pPr>
        <w:shd w:val="clear" w:color="auto" w:fill="FFFFFF"/>
        <w:overflowPunct/>
        <w:adjustRightInd/>
        <w:snapToGrid/>
        <w:spacing w:line="560" w:lineRule="exact"/>
        <w:ind w:firstLine="640"/>
        <w:rPr>
          <w:bCs/>
          <w:kern w:val="0"/>
          <w:szCs w:val="32"/>
          <w:u w:val="wave"/>
        </w:rPr>
      </w:pPr>
      <w:r>
        <w:rPr>
          <w:rFonts w:hint="eastAsia"/>
          <w:bCs/>
          <w:kern w:val="0"/>
          <w:szCs w:val="32"/>
          <w:u w:val="wave"/>
        </w:rPr>
        <w:t>食材分组XXX至食材分组XXX</w:t>
      </w:r>
      <w:r>
        <w:rPr>
          <w:bCs/>
          <w:kern w:val="0"/>
          <w:szCs w:val="32"/>
          <w:u w:val="wave"/>
        </w:rPr>
        <w:t>为XXXX</w:t>
      </w:r>
      <w:r>
        <w:rPr>
          <w:rFonts w:hint="eastAsia"/>
          <w:bCs/>
          <w:kern w:val="0"/>
          <w:szCs w:val="32"/>
          <w:u w:val="wave"/>
        </w:rPr>
        <w:t>；</w:t>
      </w:r>
    </w:p>
    <w:p>
      <w:pPr>
        <w:shd w:val="clear" w:color="auto" w:fill="FFFFFF"/>
        <w:overflowPunct/>
        <w:adjustRightInd/>
        <w:snapToGrid/>
        <w:spacing w:line="560" w:lineRule="exact"/>
        <w:ind w:firstLine="640"/>
        <w:rPr>
          <w:bCs/>
          <w:kern w:val="0"/>
          <w:szCs w:val="32"/>
          <w:u w:val="wave"/>
        </w:rPr>
      </w:pPr>
      <w:r>
        <w:rPr>
          <w:rFonts w:hint="eastAsia"/>
          <w:bCs/>
          <w:kern w:val="0"/>
          <w:szCs w:val="32"/>
          <w:u w:val="wave"/>
        </w:rPr>
        <w:t>食材分组XXX至食材分组XXX</w:t>
      </w:r>
      <w:r>
        <w:rPr>
          <w:bCs/>
          <w:kern w:val="0"/>
          <w:szCs w:val="32"/>
          <w:u w:val="wave"/>
        </w:rPr>
        <w:t>为XXXX</w:t>
      </w:r>
      <w:r>
        <w:rPr>
          <w:rFonts w:hint="eastAsia"/>
          <w:bCs/>
          <w:kern w:val="0"/>
          <w:szCs w:val="32"/>
          <w:u w:val="wave"/>
        </w:rPr>
        <w:t>。</w:t>
      </w:r>
    </w:p>
    <w:p>
      <w:pPr>
        <w:shd w:val="clear" w:color="auto" w:fill="FFFFFF"/>
        <w:overflowPunct/>
        <w:adjustRightInd/>
        <w:snapToGrid/>
        <w:spacing w:line="560" w:lineRule="exact"/>
        <w:ind w:firstLine="640"/>
        <w:rPr>
          <w:rFonts w:eastAsia="黑体"/>
          <w:szCs w:val="32"/>
        </w:rPr>
      </w:pPr>
      <w:r>
        <w:rPr>
          <w:rFonts w:eastAsia="黑体"/>
          <w:szCs w:val="32"/>
        </w:rPr>
        <w:t>六、报价要求</w:t>
      </w:r>
    </w:p>
    <w:p>
      <w:pPr>
        <w:shd w:val="clear" w:color="auto" w:fill="FFFFFF"/>
        <w:overflowPunct/>
        <w:adjustRightInd/>
        <w:snapToGrid/>
        <w:spacing w:line="560" w:lineRule="exact"/>
        <w:ind w:firstLine="640"/>
        <w:rPr>
          <w:bCs/>
          <w:kern w:val="0"/>
          <w:szCs w:val="32"/>
        </w:rPr>
      </w:pPr>
      <w:r>
        <w:rPr>
          <w:bCs/>
          <w:kern w:val="0"/>
          <w:szCs w:val="32"/>
        </w:rPr>
        <w:t>1.投标人的报价包含了为采购人配送主副食品原料和定点加工服务的成本费、人工费、运输费及税金等一切费用。</w:t>
      </w:r>
    </w:p>
    <w:p>
      <w:pPr>
        <w:shd w:val="clear" w:color="auto" w:fill="FFFFFF"/>
        <w:overflowPunct/>
        <w:adjustRightInd/>
        <w:snapToGrid/>
        <w:spacing w:line="560" w:lineRule="exact"/>
        <w:ind w:firstLine="640"/>
        <w:rPr>
          <w:bCs/>
          <w:kern w:val="0"/>
          <w:szCs w:val="32"/>
        </w:rPr>
      </w:pPr>
      <w:r>
        <w:rPr>
          <w:bCs/>
          <w:kern w:val="0"/>
          <w:szCs w:val="32"/>
        </w:rPr>
        <w:t>2.入围投标人参与后续各类食材标</w:t>
      </w:r>
      <w:r>
        <w:rPr>
          <w:rFonts w:hint="eastAsia"/>
          <w:bCs/>
          <w:kern w:val="0"/>
          <w:szCs w:val="32"/>
        </w:rPr>
        <w:t>段报价</w:t>
      </w:r>
      <w:r>
        <w:rPr>
          <w:bCs/>
          <w:kern w:val="0"/>
          <w:szCs w:val="32"/>
        </w:rPr>
        <w:t>时，通过“阳光食堂”平台</w:t>
      </w:r>
      <w:r>
        <w:rPr>
          <w:rFonts w:hint="eastAsia"/>
          <w:bCs/>
          <w:kern w:val="0"/>
          <w:szCs w:val="32"/>
        </w:rPr>
        <w:t>进行线上报价。</w:t>
      </w:r>
    </w:p>
    <w:p>
      <w:pPr>
        <w:shd w:val="clear" w:color="auto" w:fill="FFFFFF"/>
        <w:overflowPunct/>
        <w:adjustRightInd/>
        <w:snapToGrid/>
        <w:spacing w:line="560" w:lineRule="exact"/>
        <w:ind w:firstLine="640"/>
        <w:rPr>
          <w:rFonts w:eastAsia="黑体"/>
          <w:szCs w:val="32"/>
        </w:rPr>
      </w:pPr>
      <w:r>
        <w:rPr>
          <w:rFonts w:eastAsia="黑体"/>
          <w:szCs w:val="32"/>
        </w:rPr>
        <w:t>七、供货价格与结算方式</w:t>
      </w:r>
    </w:p>
    <w:p>
      <w:pPr>
        <w:overflowPunct/>
        <w:adjustRightInd/>
        <w:snapToGrid/>
        <w:spacing w:line="560" w:lineRule="exact"/>
        <w:ind w:firstLine="643"/>
        <w:jc w:val="left"/>
        <w:rPr>
          <w:b/>
          <w:szCs w:val="32"/>
        </w:rPr>
      </w:pPr>
      <w:r>
        <w:rPr>
          <w:b/>
          <w:szCs w:val="32"/>
        </w:rPr>
        <w:t>（一）供货价格</w:t>
      </w:r>
    </w:p>
    <w:p>
      <w:pPr>
        <w:overflowPunct/>
        <w:adjustRightInd/>
        <w:snapToGrid/>
        <w:spacing w:line="560" w:lineRule="exact"/>
        <w:ind w:firstLine="640"/>
        <w:jc w:val="left"/>
        <w:rPr>
          <w:szCs w:val="32"/>
          <w:u w:val="wave"/>
        </w:rPr>
      </w:pPr>
      <w:r>
        <w:rPr>
          <w:bCs/>
          <w:szCs w:val="32"/>
        </w:rPr>
        <w:t>投标人需认真配合学校采购人员的工作，按时保质、保量送货，</w:t>
      </w:r>
      <w:r>
        <w:rPr>
          <w:b/>
          <w:bCs/>
          <w:szCs w:val="32"/>
        </w:rPr>
        <w:t>中标价格为结算价格</w:t>
      </w:r>
      <w:r>
        <w:rPr>
          <w:szCs w:val="32"/>
        </w:rPr>
        <w:t>，服务期内价格不</w:t>
      </w:r>
      <w:r>
        <w:rPr>
          <w:rFonts w:hint="eastAsia"/>
          <w:szCs w:val="32"/>
        </w:rPr>
        <w:t>作</w:t>
      </w:r>
      <w:r>
        <w:rPr>
          <w:szCs w:val="32"/>
        </w:rPr>
        <w:t>调整。</w:t>
      </w:r>
      <w:r>
        <w:rPr>
          <w:bCs/>
          <w:szCs w:val="32"/>
        </w:rPr>
        <w:t>提供的货物不得弄虚作假，缺斤少两，以次充好，不得擅自改变各种食品的数量、价格和品种。</w:t>
      </w:r>
    </w:p>
    <w:p>
      <w:pPr>
        <w:overflowPunct/>
        <w:adjustRightInd/>
        <w:snapToGrid/>
        <w:spacing w:line="560" w:lineRule="exact"/>
        <w:ind w:firstLine="643"/>
        <w:jc w:val="left"/>
        <w:rPr>
          <w:b/>
          <w:bCs/>
          <w:szCs w:val="32"/>
        </w:rPr>
      </w:pPr>
      <w:r>
        <w:rPr>
          <w:b/>
          <w:bCs/>
          <w:szCs w:val="32"/>
        </w:rPr>
        <w:t>（二）付款方式</w:t>
      </w:r>
    </w:p>
    <w:p>
      <w:pPr>
        <w:overflowPunct/>
        <w:adjustRightInd/>
        <w:snapToGrid/>
        <w:spacing w:line="560" w:lineRule="exact"/>
        <w:ind w:firstLine="640"/>
        <w:jc w:val="left"/>
        <w:rPr>
          <w:szCs w:val="32"/>
        </w:rPr>
      </w:pPr>
      <w:r>
        <w:rPr>
          <w:szCs w:val="32"/>
        </w:rPr>
        <w:t>按照供货合同约定为准。</w:t>
      </w:r>
    </w:p>
    <w:p>
      <w:pPr>
        <w:overflowPunct/>
        <w:adjustRightInd/>
        <w:snapToGrid/>
        <w:spacing w:line="560" w:lineRule="exact"/>
        <w:ind w:firstLine="643"/>
        <w:jc w:val="left"/>
        <w:rPr>
          <w:b/>
          <w:bCs/>
          <w:szCs w:val="32"/>
          <w:u w:val="wave"/>
        </w:rPr>
      </w:pPr>
      <w:r>
        <w:rPr>
          <w:b/>
          <w:bCs/>
          <w:szCs w:val="32"/>
          <w:u w:val="wave"/>
        </w:rPr>
        <w:t>（三）履约保证金</w:t>
      </w:r>
    </w:p>
    <w:p>
      <w:pPr>
        <w:overflowPunct/>
        <w:adjustRightInd/>
        <w:snapToGrid/>
        <w:spacing w:line="560" w:lineRule="exact"/>
        <w:ind w:firstLine="640"/>
        <w:jc w:val="left"/>
        <w:rPr>
          <w:szCs w:val="32"/>
        </w:rPr>
      </w:pPr>
      <w:r>
        <w:rPr>
          <w:szCs w:val="32"/>
        </w:rPr>
        <w:t>1.入围投标人应在通过</w:t>
      </w:r>
      <w:r>
        <w:rPr>
          <w:rFonts w:hint="eastAsia"/>
          <w:szCs w:val="32"/>
        </w:rPr>
        <w:t>资格审查</w:t>
      </w:r>
      <w:r>
        <w:rPr>
          <w:szCs w:val="32"/>
        </w:rPr>
        <w:t>后缴纳履约保证金。具体金额为</w:t>
      </w:r>
      <w:r>
        <w:rPr>
          <w:rFonts w:hint="eastAsia"/>
          <w:szCs w:val="32"/>
        </w:rPr>
        <w:t>食材分组一中各标段为XXX元，食材分组二中各标段为XXX元</w:t>
      </w:r>
      <w:r>
        <w:rPr>
          <w:szCs w:val="32"/>
        </w:rPr>
        <w:t>........。履约保证金须在</w:t>
      </w:r>
      <w:r>
        <w:rPr>
          <w:rFonts w:hint="eastAsia"/>
          <w:szCs w:val="32"/>
        </w:rPr>
        <w:t>资格审查</w:t>
      </w:r>
      <w:r>
        <w:rPr>
          <w:szCs w:val="32"/>
        </w:rPr>
        <w:t>结果公告发出之日起至第二阶段递交投标文件截止时间前汇入采购人</w:t>
      </w:r>
      <w:r>
        <w:rPr>
          <w:rFonts w:hint="eastAsia"/>
          <w:szCs w:val="32"/>
        </w:rPr>
        <w:t>指定账户</w:t>
      </w:r>
      <w:r>
        <w:rPr>
          <w:szCs w:val="32"/>
        </w:rPr>
        <w:t xml:space="preserve">，否则视为自动放弃后续投标资格。 </w:t>
      </w:r>
    </w:p>
    <w:p>
      <w:pPr>
        <w:overflowPunct/>
        <w:adjustRightInd/>
        <w:snapToGrid/>
        <w:spacing w:line="560" w:lineRule="exact"/>
        <w:ind w:firstLine="640"/>
        <w:jc w:val="left"/>
        <w:rPr>
          <w:szCs w:val="32"/>
        </w:rPr>
      </w:pPr>
      <w:r>
        <w:rPr>
          <w:szCs w:val="32"/>
        </w:rPr>
        <w:t>2.入围协议期限满后，且在供货期内经采购人验收合格无质量、进度等问题的，采购人按合同约定退还未被扣除的履约保证金。对于未中标的投标人在入围协议到期后全额退还履约保证金。</w:t>
      </w:r>
    </w:p>
    <w:p>
      <w:pPr>
        <w:overflowPunct/>
        <w:adjustRightInd/>
        <w:snapToGrid/>
        <w:spacing w:line="560" w:lineRule="exact"/>
        <w:ind w:firstLine="640"/>
        <w:jc w:val="left"/>
        <w:rPr>
          <w:szCs w:val="32"/>
        </w:rPr>
      </w:pPr>
      <w:r>
        <w:rPr>
          <w:szCs w:val="32"/>
        </w:rPr>
        <w:t xml:space="preserve">3.发生以下情况的，履约保证金不予退还或部分退还： </w:t>
      </w:r>
    </w:p>
    <w:p>
      <w:pPr>
        <w:overflowPunct/>
        <w:adjustRightInd/>
        <w:snapToGrid/>
        <w:spacing w:line="560" w:lineRule="exact"/>
        <w:ind w:firstLine="640"/>
        <w:jc w:val="left"/>
        <w:rPr>
          <w:szCs w:val="32"/>
        </w:rPr>
      </w:pPr>
      <w:r>
        <w:rPr>
          <w:szCs w:val="32"/>
        </w:rPr>
        <w:t xml:space="preserve">（1）签订合同后，中标人不履行义务的，采购人有权全额扣除履约保证金，全额不予退还，同时采购人亦有权终止合同，中标人还须承担相应的法律赔偿责任。 </w:t>
      </w:r>
    </w:p>
    <w:p>
      <w:pPr>
        <w:overflowPunct/>
        <w:adjustRightInd/>
        <w:snapToGrid/>
        <w:spacing w:line="560" w:lineRule="exact"/>
        <w:ind w:firstLine="640"/>
        <w:rPr>
          <w:szCs w:val="32"/>
        </w:rPr>
      </w:pPr>
      <w:r>
        <w:rPr>
          <w:szCs w:val="32"/>
        </w:rPr>
        <w:t>（2）中标人在履约过程中发生违约行为，给采购人造成损失的，采购人有权依据合同中的约定在履约保证金中予以扣款，以弥补采购人经济损失，不足部分由中标人补齐。</w:t>
      </w:r>
    </w:p>
    <w:p>
      <w:pPr>
        <w:overflowPunct/>
        <w:adjustRightInd/>
        <w:snapToGrid/>
        <w:spacing w:line="560" w:lineRule="exact"/>
        <w:ind w:firstLine="643"/>
        <w:rPr>
          <w:szCs w:val="32"/>
        </w:rPr>
      </w:pPr>
      <w:r>
        <w:rPr>
          <w:b/>
          <w:bCs/>
          <w:szCs w:val="32"/>
        </w:rPr>
        <w:t>（注：上述条款中履约保证金的缴纳金额、缴纳方式、退还规定可由各地根据实际情况确定。）</w:t>
      </w:r>
    </w:p>
    <w:p>
      <w:pPr>
        <w:overflowPunct/>
        <w:adjustRightInd/>
        <w:snapToGrid/>
        <w:spacing w:line="560" w:lineRule="exact"/>
        <w:ind w:firstLine="640"/>
        <w:jc w:val="left"/>
        <w:rPr>
          <w:szCs w:val="32"/>
        </w:rPr>
      </w:pPr>
      <w:r>
        <w:rPr>
          <w:szCs w:val="32"/>
        </w:rPr>
        <w:br w:type="page"/>
      </w:r>
    </w:p>
    <w:p>
      <w:pPr>
        <w:keepNext/>
        <w:keepLines/>
        <w:spacing w:before="340" w:after="330" w:line="560" w:lineRule="exact"/>
        <w:ind w:left="567" w:firstLine="0" w:firstLineChars="0"/>
        <w:jc w:val="center"/>
        <w:outlineLvl w:val="0"/>
        <w:rPr>
          <w:rFonts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 xml:space="preserve"> </w:t>
      </w:r>
      <w:bookmarkStart w:id="88" w:name="_Toc18590"/>
      <w:r>
        <w:rPr>
          <w:rFonts w:hint="eastAsia" w:ascii="方正小标宋简体" w:hAnsi="方正小标宋简体" w:eastAsia="方正小标宋简体" w:cs="方正小标宋简体"/>
          <w:kern w:val="44"/>
          <w:sz w:val="44"/>
          <w:szCs w:val="44"/>
        </w:rPr>
        <w:t>第五章 合同主要条款及格式</w:t>
      </w:r>
      <w:bookmarkEnd w:id="88"/>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bookmarkStart w:id="89" w:name="_Hlk66377681"/>
    </w:p>
    <w:p>
      <w:pPr>
        <w:overflowPunct/>
        <w:adjustRightInd/>
        <w:snapToGrid/>
        <w:spacing w:line="560" w:lineRule="exact"/>
        <w:ind w:firstLine="0" w:firstLineChars="0"/>
        <w:rPr>
          <w:szCs w:val="32"/>
        </w:rPr>
      </w:pPr>
    </w:p>
    <w:p>
      <w:pPr>
        <w:shd w:val="clear" w:color="auto" w:fill="FFFFFF"/>
        <w:overflowPunct/>
        <w:adjustRightInd/>
        <w:snapToGrid/>
        <w:spacing w:line="560" w:lineRule="exact"/>
        <w:ind w:firstLine="0" w:firstLineChars="0"/>
        <w:jc w:val="center"/>
        <w:rPr>
          <w:b/>
          <w:bCs/>
          <w:kern w:val="0"/>
          <w:sz w:val="44"/>
          <w:szCs w:val="44"/>
        </w:rPr>
      </w:pPr>
      <w:r>
        <w:rPr>
          <w:b/>
          <w:bCs/>
          <w:kern w:val="0"/>
          <w:sz w:val="44"/>
          <w:szCs w:val="44"/>
        </w:rPr>
        <w:t>XX地区</w:t>
      </w:r>
      <w:r>
        <w:rPr>
          <w:rFonts w:hint="eastAsia"/>
          <w:b/>
          <w:bCs/>
          <w:kern w:val="0"/>
          <w:sz w:val="44"/>
          <w:szCs w:val="44"/>
        </w:rPr>
        <w:t>中小学食材采购项目</w:t>
      </w:r>
      <w:r>
        <w:rPr>
          <w:b/>
          <w:bCs/>
          <w:kern w:val="0"/>
          <w:sz w:val="44"/>
          <w:szCs w:val="44"/>
        </w:rPr>
        <w:t>供货合同</w:t>
      </w:r>
    </w:p>
    <w:p>
      <w:pPr>
        <w:shd w:val="clear" w:color="auto" w:fill="FFFFFF"/>
        <w:overflowPunct/>
        <w:adjustRightInd/>
        <w:snapToGrid/>
        <w:spacing w:line="560" w:lineRule="exact"/>
        <w:ind w:firstLine="0" w:firstLineChars="0"/>
        <w:jc w:val="center"/>
        <w:rPr>
          <w:b/>
          <w:bCs/>
          <w:kern w:val="0"/>
          <w:szCs w:val="32"/>
        </w:rPr>
      </w:pPr>
    </w:p>
    <w:p>
      <w:pPr>
        <w:shd w:val="clear" w:color="auto" w:fill="FFFFFF"/>
        <w:overflowPunct/>
        <w:adjustRightInd/>
        <w:snapToGrid/>
        <w:spacing w:line="560" w:lineRule="exact"/>
        <w:ind w:firstLine="315" w:firstLineChars="0"/>
        <w:rPr>
          <w:kern w:val="0"/>
          <w:szCs w:val="32"/>
        </w:rPr>
      </w:pPr>
      <w:r>
        <w:rPr>
          <w:b/>
          <w:bCs/>
          <w:kern w:val="0"/>
          <w:szCs w:val="32"/>
        </w:rPr>
        <w:t> </w:t>
      </w:r>
    </w:p>
    <w:p>
      <w:pPr>
        <w:shd w:val="clear" w:color="auto" w:fill="FFFFFF"/>
        <w:overflowPunct/>
        <w:adjustRightInd/>
        <w:snapToGrid/>
        <w:spacing w:line="560" w:lineRule="exact"/>
        <w:ind w:firstLine="0" w:firstLineChars="0"/>
        <w:rPr>
          <w:b/>
          <w:bCs/>
          <w:kern w:val="0"/>
          <w:szCs w:val="32"/>
        </w:rPr>
      </w:pPr>
    </w:p>
    <w:p>
      <w:pPr>
        <w:shd w:val="clear" w:color="auto" w:fill="FFFFFF"/>
        <w:overflowPunct/>
        <w:adjustRightInd/>
        <w:snapToGrid/>
        <w:spacing w:line="560" w:lineRule="exact"/>
        <w:ind w:firstLine="0" w:firstLineChars="0"/>
        <w:rPr>
          <w:kern w:val="0"/>
          <w:szCs w:val="32"/>
        </w:rPr>
      </w:pPr>
    </w:p>
    <w:p>
      <w:pPr>
        <w:shd w:val="clear" w:color="auto" w:fill="FFFFFF"/>
        <w:overflowPunct/>
        <w:adjustRightInd/>
        <w:snapToGrid/>
        <w:spacing w:line="560" w:lineRule="exact"/>
        <w:ind w:firstLine="1918" w:firstLineChars="0"/>
        <w:rPr>
          <w:kern w:val="0"/>
          <w:szCs w:val="32"/>
        </w:rPr>
      </w:pPr>
      <w:r>
        <w:rPr>
          <w:kern w:val="0"/>
          <w:szCs w:val="32"/>
        </w:rPr>
        <w:t>合同编号 ：</w:t>
      </w:r>
      <w:r>
        <w:rPr>
          <w:kern w:val="0"/>
          <w:szCs w:val="32"/>
          <w:u w:val="single"/>
        </w:rPr>
        <w:t>          </w:t>
      </w:r>
    </w:p>
    <w:p>
      <w:pPr>
        <w:shd w:val="clear" w:color="auto" w:fill="FFFFFF"/>
        <w:overflowPunct/>
        <w:adjustRightInd/>
        <w:snapToGrid/>
        <w:spacing w:line="560" w:lineRule="exact"/>
        <w:ind w:firstLine="1918" w:firstLineChars="0"/>
        <w:rPr>
          <w:kern w:val="0"/>
          <w:szCs w:val="32"/>
        </w:rPr>
      </w:pPr>
      <w:r>
        <w:rPr>
          <w:kern w:val="0"/>
          <w:szCs w:val="32"/>
        </w:rPr>
        <w:t>项目名称 ：</w:t>
      </w:r>
      <w:r>
        <w:rPr>
          <w:kern w:val="0"/>
          <w:szCs w:val="32"/>
          <w:u w:val="single"/>
        </w:rPr>
        <w:t>          </w:t>
      </w:r>
    </w:p>
    <w:p>
      <w:pPr>
        <w:shd w:val="clear" w:color="auto" w:fill="FFFFFF"/>
        <w:overflowPunct/>
        <w:adjustRightInd/>
        <w:snapToGrid/>
        <w:spacing w:line="560" w:lineRule="exact"/>
        <w:ind w:firstLine="1918" w:firstLineChars="0"/>
        <w:rPr>
          <w:kern w:val="0"/>
          <w:szCs w:val="32"/>
        </w:rPr>
      </w:pPr>
      <w:r>
        <w:rPr>
          <w:kern w:val="0"/>
          <w:szCs w:val="32"/>
        </w:rPr>
        <w:t>采购人 ：</w:t>
      </w:r>
      <w:r>
        <w:rPr>
          <w:kern w:val="0"/>
          <w:szCs w:val="32"/>
          <w:u w:val="single"/>
        </w:rPr>
        <w:t>            </w:t>
      </w:r>
    </w:p>
    <w:p>
      <w:pPr>
        <w:shd w:val="clear" w:color="auto" w:fill="FFFFFF"/>
        <w:overflowPunct/>
        <w:adjustRightInd/>
        <w:snapToGrid/>
        <w:spacing w:line="560" w:lineRule="exact"/>
        <w:ind w:firstLine="1916" w:firstLineChars="0"/>
        <w:rPr>
          <w:kern w:val="0"/>
          <w:szCs w:val="32"/>
        </w:rPr>
      </w:pPr>
      <w:r>
        <w:rPr>
          <w:kern w:val="0"/>
          <w:szCs w:val="32"/>
        </w:rPr>
        <w:t>中标人 ：</w:t>
      </w:r>
      <w:r>
        <w:rPr>
          <w:kern w:val="0"/>
          <w:szCs w:val="32"/>
          <w:u w:val="single"/>
        </w:rPr>
        <w:t>            </w:t>
      </w:r>
    </w:p>
    <w:p>
      <w:pPr>
        <w:shd w:val="clear" w:color="auto" w:fill="FFFFFF"/>
        <w:overflowPunct/>
        <w:adjustRightInd/>
        <w:snapToGrid/>
        <w:spacing w:line="560" w:lineRule="exact"/>
        <w:ind w:firstLine="1916" w:firstLineChars="0"/>
        <w:rPr>
          <w:kern w:val="0"/>
          <w:szCs w:val="32"/>
        </w:rPr>
      </w:pPr>
      <w:r>
        <w:rPr>
          <w:kern w:val="0"/>
          <w:szCs w:val="32"/>
        </w:rPr>
        <w:t>签订日期 ：</w:t>
      </w:r>
      <w:r>
        <w:rPr>
          <w:kern w:val="0"/>
          <w:szCs w:val="32"/>
          <w:u w:val="single"/>
        </w:rPr>
        <w:t>          </w:t>
      </w:r>
    </w:p>
    <w:p>
      <w:pPr>
        <w:shd w:val="clear" w:color="auto" w:fill="FFFFFF"/>
        <w:overflowPunct/>
        <w:adjustRightInd/>
        <w:snapToGrid/>
        <w:spacing w:line="560" w:lineRule="exact"/>
        <w:ind w:firstLine="0" w:firstLineChars="0"/>
        <w:rPr>
          <w:kern w:val="0"/>
          <w:szCs w:val="32"/>
        </w:rPr>
      </w:pPr>
      <w:r>
        <w:rPr>
          <w:kern w:val="0"/>
          <w:szCs w:val="32"/>
        </w:rPr>
        <w:t>      </w:t>
      </w:r>
      <w:r>
        <w:rPr>
          <w:b/>
          <w:bCs/>
          <w:kern w:val="0"/>
          <w:szCs w:val="32"/>
        </w:rPr>
        <w:t>   </w:t>
      </w:r>
    </w:p>
    <w:p>
      <w:pPr>
        <w:shd w:val="clear" w:color="auto" w:fill="FFFFFF"/>
        <w:overflowPunct/>
        <w:adjustRightInd/>
        <w:snapToGrid/>
        <w:spacing w:line="560" w:lineRule="exact"/>
        <w:ind w:firstLine="2984" w:firstLineChars="0"/>
        <w:rPr>
          <w:kern w:val="0"/>
          <w:szCs w:val="32"/>
        </w:rPr>
      </w:pPr>
      <w:r>
        <w:rPr>
          <w:b/>
          <w:bCs/>
          <w:kern w:val="0"/>
          <w:szCs w:val="32"/>
        </w:rPr>
        <w:t> </w:t>
      </w:r>
    </w:p>
    <w:p>
      <w:pPr>
        <w:shd w:val="clear" w:color="auto" w:fill="FFFFFF"/>
        <w:overflowPunct/>
        <w:adjustRightInd/>
        <w:snapToGrid/>
        <w:spacing w:line="560" w:lineRule="exact"/>
        <w:ind w:firstLine="0" w:firstLineChars="0"/>
        <w:rPr>
          <w:kern w:val="0"/>
          <w:szCs w:val="32"/>
        </w:rPr>
      </w:pPr>
      <w:r>
        <w:rPr>
          <w:kern w:val="0"/>
          <w:szCs w:val="32"/>
        </w:rPr>
        <w:br w:type="page"/>
      </w:r>
    </w:p>
    <w:bookmarkEnd w:id="89"/>
    <w:p>
      <w:pPr>
        <w:overflowPunct/>
        <w:adjustRightInd/>
        <w:snapToGrid/>
        <w:spacing w:line="560" w:lineRule="exact"/>
        <w:ind w:firstLine="0" w:firstLineChars="0"/>
        <w:jc w:val="center"/>
        <w:rPr>
          <w:rFonts w:eastAsia="方正小标宋简体"/>
          <w:kern w:val="44"/>
          <w:sz w:val="44"/>
          <w:szCs w:val="44"/>
        </w:rPr>
      </w:pPr>
      <w:bookmarkStart w:id="90" w:name="_Toc25685"/>
      <w:r>
        <w:rPr>
          <w:rFonts w:eastAsia="方正小标宋简体"/>
          <w:kern w:val="44"/>
          <w:sz w:val="44"/>
          <w:szCs w:val="44"/>
        </w:rPr>
        <w:t>供货合同</w:t>
      </w:r>
    </w:p>
    <w:p>
      <w:pPr>
        <w:keepNext/>
        <w:keepLines/>
        <w:numPr>
          <w:ilvl w:val="1"/>
          <w:numId w:val="4"/>
        </w:numPr>
        <w:spacing w:before="260" w:after="260" w:line="560" w:lineRule="exact"/>
        <w:ind w:firstLine="643"/>
        <w:outlineLvl w:val="1"/>
        <w:rPr>
          <w:b/>
          <w:bCs/>
          <w:kern w:val="0"/>
          <w:szCs w:val="32"/>
        </w:rPr>
      </w:pPr>
    </w:p>
    <w:p>
      <w:pPr>
        <w:keepNext/>
        <w:keepLines/>
        <w:numPr>
          <w:ilvl w:val="1"/>
          <w:numId w:val="4"/>
        </w:numPr>
        <w:spacing w:before="260" w:after="260" w:line="560" w:lineRule="exact"/>
        <w:ind w:firstLine="640"/>
        <w:outlineLvl w:val="1"/>
        <w:rPr>
          <w:kern w:val="0"/>
          <w:szCs w:val="32"/>
        </w:rPr>
      </w:pPr>
      <w:r>
        <w:rPr>
          <w:szCs w:val="32"/>
        </w:rPr>
        <w:t>合同编号：</w:t>
      </w:r>
    </w:p>
    <w:p>
      <w:pPr>
        <w:keepNext/>
        <w:keepLines/>
        <w:numPr>
          <w:ilvl w:val="1"/>
          <w:numId w:val="4"/>
        </w:numPr>
        <w:spacing w:before="260" w:after="260" w:line="560" w:lineRule="exact"/>
        <w:ind w:firstLine="640"/>
        <w:outlineLvl w:val="1"/>
        <w:rPr>
          <w:kern w:val="0"/>
          <w:szCs w:val="32"/>
        </w:rPr>
      </w:pPr>
      <w:r>
        <w:rPr>
          <w:szCs w:val="32"/>
        </w:rPr>
        <w:t>甲    方：</w:t>
      </w:r>
      <w:r>
        <w:rPr>
          <w:kern w:val="0"/>
          <w:szCs w:val="32"/>
        </w:rPr>
        <w:t>✕✕✕✕✕</w:t>
      </w:r>
      <w:r>
        <w:rPr>
          <w:rFonts w:hint="eastAsia"/>
          <w:kern w:val="0"/>
          <w:szCs w:val="32"/>
        </w:rPr>
        <w:t>学校</w:t>
      </w:r>
    </w:p>
    <w:p>
      <w:pPr>
        <w:keepNext/>
        <w:keepLines/>
        <w:numPr>
          <w:ilvl w:val="1"/>
          <w:numId w:val="4"/>
        </w:numPr>
        <w:spacing w:before="260" w:after="260" w:line="560" w:lineRule="exact"/>
        <w:ind w:firstLine="640"/>
        <w:outlineLvl w:val="1"/>
        <w:rPr>
          <w:kern w:val="0"/>
          <w:szCs w:val="32"/>
        </w:rPr>
      </w:pPr>
      <w:r>
        <w:rPr>
          <w:szCs w:val="32"/>
        </w:rPr>
        <w:t>乙    方：</w:t>
      </w:r>
      <w:r>
        <w:rPr>
          <w:kern w:val="0"/>
          <w:szCs w:val="32"/>
        </w:rPr>
        <w:t>✕✕✕✕✕✕✕公司</w:t>
      </w:r>
    </w:p>
    <w:p>
      <w:pPr>
        <w:overflowPunct/>
        <w:adjustRightInd/>
        <w:snapToGrid/>
        <w:spacing w:line="560" w:lineRule="exact"/>
        <w:ind w:firstLine="640"/>
        <w:rPr>
          <w:szCs w:val="32"/>
          <w:u w:val="wave"/>
        </w:rPr>
      </w:pPr>
      <w:r>
        <w:rPr>
          <w:szCs w:val="32"/>
          <w:u w:val="wave"/>
        </w:rPr>
        <w:t>根据本招标文件规定，甲乙双方按照</w:t>
      </w:r>
      <w:r>
        <w:rPr>
          <w:rFonts w:hint="eastAsia"/>
          <w:szCs w:val="32"/>
          <w:u w:val="wave"/>
        </w:rPr>
        <w:t>食材分组XXX:XXX/XXX/XXX......</w:t>
      </w:r>
      <w:r>
        <w:rPr>
          <w:szCs w:val="32"/>
          <w:u w:val="wave"/>
        </w:rPr>
        <w:t>招标结果</w:t>
      </w:r>
      <w:r>
        <w:rPr>
          <w:rFonts w:hint="eastAsia"/>
          <w:szCs w:val="32"/>
          <w:u w:val="wave"/>
        </w:rPr>
        <w:t>签订</w:t>
      </w:r>
      <w:r>
        <w:rPr>
          <w:szCs w:val="32"/>
          <w:u w:val="wave"/>
        </w:rPr>
        <w:t>本合同。</w:t>
      </w:r>
    </w:p>
    <w:p>
      <w:pPr>
        <w:numPr>
          <w:ilvl w:val="0"/>
          <w:numId w:val="7"/>
        </w:numPr>
        <w:overflowPunct/>
        <w:autoSpaceDE w:val="0"/>
        <w:autoSpaceDN w:val="0"/>
        <w:spacing w:line="560" w:lineRule="exact"/>
        <w:ind w:firstLine="640"/>
        <w:jc w:val="left"/>
        <w:rPr>
          <w:rFonts w:ascii="黑体" w:hAnsi="黑体" w:eastAsia="黑体" w:cs="黑体"/>
          <w:bCs/>
          <w:szCs w:val="32"/>
        </w:rPr>
      </w:pPr>
      <w:r>
        <w:rPr>
          <w:rFonts w:hint="eastAsia" w:ascii="黑体" w:hAnsi="黑体" w:eastAsia="黑体" w:cs="黑体"/>
          <w:kern w:val="0"/>
          <w:szCs w:val="32"/>
        </w:rPr>
        <w:t xml:space="preserve"> 合同履行期：</w:t>
      </w:r>
      <w:r>
        <w:rPr>
          <w:rFonts w:hint="eastAsia" w:ascii="黑体" w:hAnsi="黑体" w:eastAsia="黑体" w:cs="黑体"/>
          <w:bCs/>
          <w:szCs w:val="32"/>
        </w:rPr>
        <w:t>XXX。</w:t>
      </w:r>
    </w:p>
    <w:p>
      <w:pPr>
        <w:numPr>
          <w:ilvl w:val="255"/>
          <w:numId w:val="0"/>
        </w:numPr>
        <w:overflowPunct/>
        <w:autoSpaceDE w:val="0"/>
        <w:autoSpaceDN w:val="0"/>
        <w:spacing w:line="560" w:lineRule="exact"/>
        <w:jc w:val="left"/>
        <w:rPr>
          <w:rFonts w:ascii="黑体" w:hAnsi="黑体" w:eastAsia="黑体" w:cs="黑体"/>
          <w:bCs/>
          <w:szCs w:val="32"/>
        </w:rPr>
      </w:pPr>
    </w:p>
    <w:p>
      <w:pPr>
        <w:overflowPunct/>
        <w:autoSpaceDE w:val="0"/>
        <w:autoSpaceDN w:val="0"/>
        <w:spacing w:line="560" w:lineRule="exact"/>
        <w:ind w:firstLine="640"/>
        <w:jc w:val="left"/>
        <w:rPr>
          <w:rFonts w:ascii="黑体" w:hAnsi="黑体" w:eastAsia="黑体" w:cs="黑体"/>
          <w:kern w:val="0"/>
          <w:szCs w:val="32"/>
        </w:rPr>
      </w:pPr>
      <w:r>
        <w:rPr>
          <w:rFonts w:hint="eastAsia" w:ascii="黑体" w:hAnsi="黑体" w:eastAsia="黑体" w:cs="黑体"/>
          <w:kern w:val="0"/>
          <w:szCs w:val="32"/>
        </w:rPr>
        <w:t>第二条  供货品种规格、数量和时间</w:t>
      </w:r>
    </w:p>
    <w:p>
      <w:pPr>
        <w:overflowPunct/>
        <w:autoSpaceDE w:val="0"/>
        <w:autoSpaceDN w:val="0"/>
        <w:spacing w:line="560" w:lineRule="exact"/>
        <w:ind w:firstLine="640"/>
        <w:rPr>
          <w:szCs w:val="32"/>
          <w:u w:val="wave"/>
        </w:rPr>
      </w:pPr>
      <w:r>
        <w:rPr>
          <w:szCs w:val="32"/>
          <w:u w:val="wave"/>
        </w:rPr>
        <w:t>1.乙方必须按照甲方供货周期内的全部食材品种、规格、数量等组织配送（见供货明细表），食材必须达到国家食品安全卫生标准。</w:t>
      </w: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640"/>
        <w:rPr>
          <w:szCs w:val="32"/>
        </w:rPr>
      </w:pPr>
      <w:r>
        <w:rPr>
          <w:szCs w:val="32"/>
        </w:rPr>
        <w:t>按✕✕✕县（市、区）</w:t>
      </w:r>
      <w:r>
        <w:rPr>
          <w:rFonts w:hint="eastAsia"/>
          <w:szCs w:val="32"/>
        </w:rPr>
        <w:t>中小学食材采购项目</w:t>
      </w:r>
      <w:r>
        <w:rPr>
          <w:szCs w:val="32"/>
        </w:rPr>
        <w:t>合同执行。以下供参考。</w:t>
      </w:r>
    </w:p>
    <w:p>
      <w:pPr>
        <w:overflowPunct/>
        <w:adjustRightInd/>
        <w:snapToGrid/>
        <w:spacing w:line="560" w:lineRule="exact"/>
        <w:ind w:firstLine="0" w:firstLineChars="0"/>
        <w:rPr>
          <w:szCs w:val="32"/>
        </w:rPr>
      </w:pPr>
    </w:p>
    <w:p>
      <w:pPr>
        <w:overflowPunct/>
        <w:adjustRightInd/>
        <w:snapToGrid/>
        <w:spacing w:line="560" w:lineRule="exact"/>
        <w:ind w:firstLine="0" w:firstLineChars="0"/>
        <w:jc w:val="center"/>
        <w:rPr>
          <w:b/>
          <w:szCs w:val="32"/>
        </w:rPr>
      </w:pPr>
      <w:r>
        <w:rPr>
          <w:b/>
          <w:szCs w:val="32"/>
        </w:rPr>
        <w:t>供货明细表</w:t>
      </w:r>
    </w:p>
    <w:tbl>
      <w:tblPr>
        <w:tblStyle w:val="23"/>
        <w:tblW w:w="8917" w:type="dxa"/>
        <w:tblInd w:w="3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8"/>
        <w:gridCol w:w="1357"/>
        <w:gridCol w:w="971"/>
        <w:gridCol w:w="1253"/>
        <w:gridCol w:w="1180"/>
        <w:gridCol w:w="1229"/>
        <w:gridCol w:w="17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送货时间</w:t>
            </w:r>
          </w:p>
        </w:tc>
        <w:tc>
          <w:tcPr>
            <w:tcW w:w="1357"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食材名称</w:t>
            </w:r>
          </w:p>
        </w:tc>
        <w:tc>
          <w:tcPr>
            <w:tcW w:w="971"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数量</w:t>
            </w:r>
          </w:p>
        </w:tc>
        <w:tc>
          <w:tcPr>
            <w:tcW w:w="1253"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计量单位</w:t>
            </w:r>
          </w:p>
        </w:tc>
        <w:tc>
          <w:tcPr>
            <w:tcW w:w="1180"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单价</w:t>
            </w:r>
          </w:p>
        </w:tc>
        <w:tc>
          <w:tcPr>
            <w:tcW w:w="1229"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总价</w:t>
            </w:r>
          </w:p>
        </w:tc>
        <w:tc>
          <w:tcPr>
            <w:tcW w:w="1709" w:type="dxa"/>
            <w:vAlign w:val="center"/>
          </w:tcPr>
          <w:p>
            <w:pPr>
              <w:overflowPunct/>
              <w:adjustRightInd/>
              <w:snapToGrid/>
              <w:spacing w:line="560" w:lineRule="exact"/>
              <w:ind w:firstLine="0" w:firstLineChars="0"/>
              <w:jc w:val="center"/>
              <w:textAlignment w:val="center"/>
              <w:rPr>
                <w:bCs/>
                <w:sz w:val="21"/>
                <w:szCs w:val="21"/>
                <w:lang w:bidi="ar"/>
              </w:rPr>
            </w:pPr>
            <w:r>
              <w:rPr>
                <w:b/>
                <w:sz w:val="21"/>
                <w:szCs w:val="21"/>
              </w:rPr>
              <w:t>品牌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pPr>
              <w:overflowPunct/>
              <w:adjustRightInd/>
              <w:snapToGrid/>
              <w:spacing w:line="560" w:lineRule="exact"/>
              <w:ind w:firstLine="0" w:firstLineChars="0"/>
              <w:jc w:val="center"/>
              <w:textAlignment w:val="center"/>
              <w:rPr>
                <w:bCs/>
                <w:szCs w:val="32"/>
                <w:lang w:bidi="ar"/>
              </w:rPr>
            </w:pPr>
          </w:p>
        </w:tc>
        <w:tc>
          <w:tcPr>
            <w:tcW w:w="1357" w:type="dxa"/>
            <w:vAlign w:val="center"/>
          </w:tcPr>
          <w:p>
            <w:pPr>
              <w:overflowPunct/>
              <w:adjustRightInd/>
              <w:snapToGrid/>
              <w:spacing w:line="560" w:lineRule="exact"/>
              <w:ind w:firstLine="0" w:firstLineChars="0"/>
              <w:jc w:val="center"/>
              <w:textAlignment w:val="center"/>
              <w:rPr>
                <w:bCs/>
                <w:szCs w:val="32"/>
                <w:lang w:bidi="ar"/>
              </w:rPr>
            </w:pPr>
          </w:p>
        </w:tc>
        <w:tc>
          <w:tcPr>
            <w:tcW w:w="971" w:type="dxa"/>
            <w:vAlign w:val="center"/>
          </w:tcPr>
          <w:p>
            <w:pPr>
              <w:overflowPunct/>
              <w:adjustRightInd/>
              <w:snapToGrid/>
              <w:spacing w:line="560" w:lineRule="exact"/>
              <w:ind w:firstLine="0" w:firstLineChars="0"/>
              <w:jc w:val="center"/>
              <w:textAlignment w:val="center"/>
              <w:rPr>
                <w:bCs/>
                <w:szCs w:val="32"/>
                <w:lang w:bidi="ar"/>
              </w:rPr>
            </w:pPr>
          </w:p>
        </w:tc>
        <w:tc>
          <w:tcPr>
            <w:tcW w:w="1253" w:type="dxa"/>
            <w:vAlign w:val="center"/>
          </w:tcPr>
          <w:p>
            <w:pPr>
              <w:overflowPunct/>
              <w:adjustRightInd/>
              <w:snapToGrid/>
              <w:spacing w:line="560" w:lineRule="exact"/>
              <w:ind w:firstLine="0" w:firstLineChars="0"/>
              <w:jc w:val="center"/>
              <w:textAlignment w:val="center"/>
              <w:rPr>
                <w:bCs/>
                <w:szCs w:val="32"/>
                <w:lang w:bidi="ar"/>
              </w:rPr>
            </w:pPr>
          </w:p>
        </w:tc>
        <w:tc>
          <w:tcPr>
            <w:tcW w:w="1180" w:type="dxa"/>
            <w:vAlign w:val="center"/>
          </w:tcPr>
          <w:p>
            <w:pPr>
              <w:overflowPunct/>
              <w:adjustRightInd/>
              <w:snapToGrid/>
              <w:spacing w:line="560" w:lineRule="exact"/>
              <w:ind w:firstLine="0" w:firstLineChars="0"/>
              <w:jc w:val="center"/>
              <w:textAlignment w:val="center"/>
              <w:rPr>
                <w:bCs/>
                <w:szCs w:val="32"/>
                <w:lang w:bidi="ar"/>
              </w:rPr>
            </w:pPr>
          </w:p>
        </w:tc>
        <w:tc>
          <w:tcPr>
            <w:tcW w:w="1229" w:type="dxa"/>
            <w:vAlign w:val="center"/>
          </w:tcPr>
          <w:p>
            <w:pPr>
              <w:overflowPunct/>
              <w:adjustRightInd/>
              <w:snapToGrid/>
              <w:spacing w:line="560" w:lineRule="exact"/>
              <w:ind w:firstLine="0" w:firstLineChars="0"/>
              <w:jc w:val="center"/>
              <w:textAlignment w:val="center"/>
              <w:rPr>
                <w:bCs/>
                <w:szCs w:val="32"/>
                <w:lang w:bidi="ar"/>
              </w:rPr>
            </w:pPr>
          </w:p>
        </w:tc>
        <w:tc>
          <w:tcPr>
            <w:tcW w:w="1709" w:type="dxa"/>
            <w:vAlign w:val="center"/>
          </w:tcPr>
          <w:p>
            <w:pPr>
              <w:overflowPunct/>
              <w:adjustRightInd/>
              <w:snapToGrid/>
              <w:spacing w:line="560" w:lineRule="exact"/>
              <w:ind w:firstLine="0" w:firstLineChars="0"/>
              <w:jc w:val="center"/>
              <w:textAlignment w:val="center"/>
              <w:rPr>
                <w:bCs/>
                <w:szCs w:val="32"/>
                <w:lang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vAlign w:val="center"/>
          </w:tcPr>
          <w:p>
            <w:pPr>
              <w:overflowPunct/>
              <w:adjustRightInd/>
              <w:snapToGrid/>
              <w:spacing w:line="560" w:lineRule="exact"/>
              <w:ind w:firstLine="0" w:firstLineChars="0"/>
              <w:jc w:val="center"/>
              <w:textAlignment w:val="center"/>
              <w:rPr>
                <w:bCs/>
                <w:szCs w:val="32"/>
                <w:lang w:bidi="ar"/>
              </w:rPr>
            </w:pPr>
          </w:p>
        </w:tc>
        <w:tc>
          <w:tcPr>
            <w:tcW w:w="1357" w:type="dxa"/>
            <w:vAlign w:val="center"/>
          </w:tcPr>
          <w:p>
            <w:pPr>
              <w:overflowPunct/>
              <w:adjustRightInd/>
              <w:snapToGrid/>
              <w:spacing w:line="560" w:lineRule="exact"/>
              <w:ind w:firstLine="0" w:firstLineChars="0"/>
              <w:jc w:val="center"/>
              <w:textAlignment w:val="center"/>
              <w:rPr>
                <w:bCs/>
                <w:szCs w:val="32"/>
                <w:lang w:bidi="ar"/>
              </w:rPr>
            </w:pPr>
          </w:p>
        </w:tc>
        <w:tc>
          <w:tcPr>
            <w:tcW w:w="971" w:type="dxa"/>
            <w:vAlign w:val="center"/>
          </w:tcPr>
          <w:p>
            <w:pPr>
              <w:overflowPunct/>
              <w:adjustRightInd/>
              <w:snapToGrid/>
              <w:spacing w:line="560" w:lineRule="exact"/>
              <w:ind w:firstLine="0" w:firstLineChars="0"/>
              <w:jc w:val="center"/>
              <w:textAlignment w:val="center"/>
              <w:rPr>
                <w:bCs/>
                <w:szCs w:val="32"/>
                <w:lang w:bidi="ar"/>
              </w:rPr>
            </w:pPr>
          </w:p>
        </w:tc>
        <w:tc>
          <w:tcPr>
            <w:tcW w:w="1253" w:type="dxa"/>
            <w:vAlign w:val="center"/>
          </w:tcPr>
          <w:p>
            <w:pPr>
              <w:overflowPunct/>
              <w:adjustRightInd/>
              <w:snapToGrid/>
              <w:spacing w:line="560" w:lineRule="exact"/>
              <w:ind w:firstLine="0" w:firstLineChars="0"/>
              <w:jc w:val="center"/>
              <w:textAlignment w:val="center"/>
              <w:rPr>
                <w:bCs/>
                <w:szCs w:val="32"/>
                <w:lang w:bidi="ar"/>
              </w:rPr>
            </w:pPr>
          </w:p>
        </w:tc>
        <w:tc>
          <w:tcPr>
            <w:tcW w:w="1180" w:type="dxa"/>
            <w:vAlign w:val="center"/>
          </w:tcPr>
          <w:p>
            <w:pPr>
              <w:overflowPunct/>
              <w:adjustRightInd/>
              <w:snapToGrid/>
              <w:spacing w:line="560" w:lineRule="exact"/>
              <w:ind w:firstLine="0" w:firstLineChars="0"/>
              <w:jc w:val="center"/>
              <w:textAlignment w:val="center"/>
              <w:rPr>
                <w:bCs/>
                <w:szCs w:val="32"/>
                <w:lang w:bidi="ar"/>
              </w:rPr>
            </w:pPr>
          </w:p>
        </w:tc>
        <w:tc>
          <w:tcPr>
            <w:tcW w:w="1229" w:type="dxa"/>
            <w:vAlign w:val="center"/>
          </w:tcPr>
          <w:p>
            <w:pPr>
              <w:overflowPunct/>
              <w:adjustRightInd/>
              <w:snapToGrid/>
              <w:spacing w:line="560" w:lineRule="exact"/>
              <w:ind w:firstLine="0" w:firstLineChars="0"/>
              <w:jc w:val="center"/>
              <w:textAlignment w:val="center"/>
              <w:rPr>
                <w:bCs/>
                <w:szCs w:val="32"/>
                <w:lang w:bidi="ar"/>
              </w:rPr>
            </w:pPr>
          </w:p>
        </w:tc>
        <w:tc>
          <w:tcPr>
            <w:tcW w:w="1709" w:type="dxa"/>
            <w:vAlign w:val="center"/>
          </w:tcPr>
          <w:p>
            <w:pPr>
              <w:overflowPunct/>
              <w:adjustRightInd/>
              <w:snapToGrid/>
              <w:spacing w:line="560" w:lineRule="exact"/>
              <w:ind w:firstLine="0" w:firstLineChars="0"/>
              <w:jc w:val="center"/>
              <w:textAlignment w:val="center"/>
              <w:rPr>
                <w:bCs/>
                <w:szCs w:val="32"/>
                <w:lang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18" w:type="dxa"/>
            <w:vAlign w:val="center"/>
          </w:tcPr>
          <w:p>
            <w:pPr>
              <w:overflowPunct/>
              <w:adjustRightInd/>
              <w:snapToGrid/>
              <w:spacing w:line="560" w:lineRule="exact"/>
              <w:ind w:firstLine="0" w:firstLineChars="0"/>
              <w:jc w:val="center"/>
              <w:textAlignment w:val="center"/>
              <w:rPr>
                <w:bCs/>
                <w:szCs w:val="32"/>
                <w:lang w:bidi="ar"/>
              </w:rPr>
            </w:pPr>
          </w:p>
        </w:tc>
        <w:tc>
          <w:tcPr>
            <w:tcW w:w="1357" w:type="dxa"/>
            <w:vAlign w:val="center"/>
          </w:tcPr>
          <w:p>
            <w:pPr>
              <w:overflowPunct/>
              <w:adjustRightInd/>
              <w:snapToGrid/>
              <w:spacing w:line="560" w:lineRule="exact"/>
              <w:ind w:firstLine="0" w:firstLineChars="0"/>
              <w:jc w:val="center"/>
              <w:textAlignment w:val="center"/>
              <w:rPr>
                <w:bCs/>
                <w:szCs w:val="32"/>
                <w:lang w:bidi="ar"/>
              </w:rPr>
            </w:pPr>
          </w:p>
        </w:tc>
        <w:tc>
          <w:tcPr>
            <w:tcW w:w="971" w:type="dxa"/>
            <w:vAlign w:val="center"/>
          </w:tcPr>
          <w:p>
            <w:pPr>
              <w:overflowPunct/>
              <w:adjustRightInd/>
              <w:snapToGrid/>
              <w:spacing w:line="560" w:lineRule="exact"/>
              <w:ind w:firstLine="0" w:firstLineChars="0"/>
              <w:jc w:val="center"/>
              <w:textAlignment w:val="center"/>
              <w:rPr>
                <w:bCs/>
                <w:szCs w:val="32"/>
                <w:lang w:bidi="ar"/>
              </w:rPr>
            </w:pPr>
          </w:p>
        </w:tc>
        <w:tc>
          <w:tcPr>
            <w:tcW w:w="1253" w:type="dxa"/>
            <w:vAlign w:val="center"/>
          </w:tcPr>
          <w:p>
            <w:pPr>
              <w:overflowPunct/>
              <w:adjustRightInd/>
              <w:snapToGrid/>
              <w:spacing w:line="560" w:lineRule="exact"/>
              <w:ind w:firstLine="0" w:firstLineChars="0"/>
              <w:jc w:val="center"/>
              <w:textAlignment w:val="center"/>
              <w:rPr>
                <w:bCs/>
                <w:szCs w:val="32"/>
                <w:lang w:bidi="ar"/>
              </w:rPr>
            </w:pPr>
          </w:p>
        </w:tc>
        <w:tc>
          <w:tcPr>
            <w:tcW w:w="1180" w:type="dxa"/>
            <w:vAlign w:val="center"/>
          </w:tcPr>
          <w:p>
            <w:pPr>
              <w:overflowPunct/>
              <w:adjustRightInd/>
              <w:snapToGrid/>
              <w:spacing w:line="560" w:lineRule="exact"/>
              <w:ind w:firstLine="0" w:firstLineChars="0"/>
              <w:jc w:val="center"/>
              <w:textAlignment w:val="center"/>
              <w:rPr>
                <w:bCs/>
                <w:szCs w:val="32"/>
                <w:lang w:bidi="ar"/>
              </w:rPr>
            </w:pPr>
          </w:p>
        </w:tc>
        <w:tc>
          <w:tcPr>
            <w:tcW w:w="1229" w:type="dxa"/>
            <w:vAlign w:val="center"/>
          </w:tcPr>
          <w:p>
            <w:pPr>
              <w:overflowPunct/>
              <w:adjustRightInd/>
              <w:snapToGrid/>
              <w:spacing w:line="560" w:lineRule="exact"/>
              <w:ind w:firstLine="0" w:firstLineChars="0"/>
              <w:jc w:val="center"/>
              <w:textAlignment w:val="center"/>
              <w:rPr>
                <w:bCs/>
                <w:szCs w:val="32"/>
                <w:lang w:bidi="ar"/>
              </w:rPr>
            </w:pPr>
          </w:p>
        </w:tc>
        <w:tc>
          <w:tcPr>
            <w:tcW w:w="1709" w:type="dxa"/>
            <w:vAlign w:val="center"/>
          </w:tcPr>
          <w:p>
            <w:pPr>
              <w:overflowPunct/>
              <w:adjustRightInd/>
              <w:snapToGrid/>
              <w:spacing w:line="560" w:lineRule="exact"/>
              <w:ind w:firstLine="0" w:firstLineChars="0"/>
              <w:jc w:val="center"/>
              <w:textAlignment w:val="center"/>
              <w:rPr>
                <w:bCs/>
                <w:szCs w:val="32"/>
                <w:lang w:bidi="ar"/>
              </w:rPr>
            </w:pPr>
          </w:p>
        </w:tc>
      </w:tr>
    </w:tbl>
    <w:p>
      <w:pPr>
        <w:overflowPunct/>
        <w:adjustRightInd/>
        <w:snapToGrid/>
        <w:spacing w:line="560" w:lineRule="exact"/>
        <w:ind w:firstLine="0" w:firstLineChars="0"/>
        <w:rPr>
          <w:szCs w:val="32"/>
        </w:rPr>
      </w:pPr>
    </w:p>
    <w:tbl>
      <w:tblPr>
        <w:tblStyle w:val="23"/>
        <w:tblpPr w:leftFromText="180" w:rightFromText="180" w:vertAnchor="text" w:horzAnchor="page" w:tblpX="1700" w:tblpY="516"/>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0"/>
        <w:gridCol w:w="70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pPr>
              <w:overflowPunct/>
              <w:adjustRightInd/>
              <w:snapToGrid/>
              <w:spacing w:line="560" w:lineRule="exact"/>
              <w:ind w:firstLine="0" w:firstLineChars="0"/>
              <w:jc w:val="center"/>
              <w:textAlignment w:val="center"/>
              <w:rPr>
                <w:b/>
                <w:sz w:val="21"/>
                <w:szCs w:val="21"/>
              </w:rPr>
            </w:pPr>
            <w:r>
              <w:rPr>
                <w:b/>
                <w:sz w:val="21"/>
                <w:szCs w:val="21"/>
              </w:rPr>
              <w:t>食材名称</w:t>
            </w:r>
          </w:p>
        </w:tc>
        <w:tc>
          <w:tcPr>
            <w:tcW w:w="7091" w:type="dxa"/>
            <w:vAlign w:val="center"/>
          </w:tcPr>
          <w:p>
            <w:pPr>
              <w:overflowPunct/>
              <w:adjustRightInd/>
              <w:snapToGrid/>
              <w:spacing w:line="560" w:lineRule="exact"/>
              <w:ind w:firstLine="0" w:firstLineChars="0"/>
              <w:jc w:val="center"/>
              <w:textAlignment w:val="center"/>
              <w:rPr>
                <w:b/>
                <w:sz w:val="21"/>
                <w:szCs w:val="21"/>
              </w:rPr>
            </w:pPr>
            <w:r>
              <w:rPr>
                <w:b/>
                <w:sz w:val="21"/>
                <w:szCs w:val="21"/>
              </w:rPr>
              <w:t>质量要求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pPr>
              <w:overflowPunct/>
              <w:adjustRightInd/>
              <w:snapToGrid/>
              <w:spacing w:line="560" w:lineRule="exact"/>
              <w:ind w:firstLine="0" w:firstLineChars="0"/>
              <w:jc w:val="center"/>
              <w:textAlignment w:val="center"/>
              <w:rPr>
                <w:bCs/>
                <w:szCs w:val="32"/>
                <w:lang w:bidi="ar"/>
              </w:rPr>
            </w:pPr>
          </w:p>
        </w:tc>
        <w:tc>
          <w:tcPr>
            <w:tcW w:w="7091" w:type="dxa"/>
            <w:vAlign w:val="center"/>
          </w:tcPr>
          <w:p>
            <w:pPr>
              <w:overflowPunct/>
              <w:adjustRightInd/>
              <w:snapToGrid/>
              <w:spacing w:line="560" w:lineRule="exact"/>
              <w:ind w:firstLine="0" w:firstLineChars="0"/>
              <w:jc w:val="center"/>
              <w:textAlignment w:val="center"/>
              <w:rPr>
                <w:bCs/>
                <w:szCs w:val="32"/>
                <w:lang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0" w:type="dxa"/>
            <w:vAlign w:val="center"/>
          </w:tcPr>
          <w:p>
            <w:pPr>
              <w:overflowPunct/>
              <w:adjustRightInd/>
              <w:snapToGrid/>
              <w:spacing w:line="560" w:lineRule="exact"/>
              <w:ind w:firstLine="0" w:firstLineChars="0"/>
              <w:jc w:val="center"/>
              <w:textAlignment w:val="center"/>
              <w:rPr>
                <w:bCs/>
                <w:szCs w:val="32"/>
                <w:lang w:bidi="ar"/>
              </w:rPr>
            </w:pPr>
          </w:p>
        </w:tc>
        <w:tc>
          <w:tcPr>
            <w:tcW w:w="7091" w:type="dxa"/>
            <w:vAlign w:val="center"/>
          </w:tcPr>
          <w:p>
            <w:pPr>
              <w:overflowPunct/>
              <w:adjustRightInd/>
              <w:snapToGrid/>
              <w:spacing w:line="560" w:lineRule="exact"/>
              <w:ind w:firstLine="0" w:firstLineChars="0"/>
              <w:jc w:val="center"/>
              <w:textAlignment w:val="center"/>
              <w:rPr>
                <w:bCs/>
                <w:szCs w:val="32"/>
                <w:lang w:bidi="ar"/>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00" w:type="dxa"/>
            <w:vAlign w:val="center"/>
          </w:tcPr>
          <w:p>
            <w:pPr>
              <w:overflowPunct/>
              <w:adjustRightInd/>
              <w:snapToGrid/>
              <w:spacing w:line="560" w:lineRule="exact"/>
              <w:ind w:firstLine="0" w:firstLineChars="0"/>
              <w:jc w:val="center"/>
              <w:textAlignment w:val="center"/>
              <w:rPr>
                <w:bCs/>
                <w:szCs w:val="32"/>
                <w:lang w:bidi="ar"/>
              </w:rPr>
            </w:pPr>
          </w:p>
        </w:tc>
        <w:tc>
          <w:tcPr>
            <w:tcW w:w="7091" w:type="dxa"/>
            <w:vAlign w:val="center"/>
          </w:tcPr>
          <w:p>
            <w:pPr>
              <w:overflowPunct/>
              <w:adjustRightInd/>
              <w:snapToGrid/>
              <w:spacing w:line="560" w:lineRule="exact"/>
              <w:ind w:firstLine="0" w:firstLineChars="0"/>
              <w:jc w:val="center"/>
              <w:textAlignment w:val="center"/>
              <w:rPr>
                <w:bCs/>
                <w:szCs w:val="32"/>
                <w:lang w:bidi="ar"/>
              </w:rPr>
            </w:pPr>
          </w:p>
        </w:tc>
      </w:tr>
    </w:tbl>
    <w:p>
      <w:pPr>
        <w:autoSpaceDE w:val="0"/>
        <w:autoSpaceDN w:val="0"/>
        <w:spacing w:line="560" w:lineRule="exact"/>
        <w:ind w:firstLine="0" w:firstLineChars="0"/>
        <w:rPr>
          <w:szCs w:val="32"/>
        </w:rPr>
        <w:sectPr>
          <w:footerReference r:id="rId26" w:type="default"/>
          <w:pgSz w:w="11906" w:h="16838"/>
          <w:pgMar w:top="2098" w:right="1587" w:bottom="1984" w:left="1587" w:header="851" w:footer="992" w:gutter="0"/>
          <w:cols w:space="425" w:num="1"/>
          <w:docGrid w:type="lines" w:linePitch="312" w:charSpace="0"/>
        </w:sectPr>
      </w:pPr>
    </w:p>
    <w:p>
      <w:pPr>
        <w:overflowPunct/>
        <w:autoSpaceDE w:val="0"/>
        <w:autoSpaceDN w:val="0"/>
        <w:spacing w:line="560" w:lineRule="exact"/>
        <w:ind w:firstLine="640"/>
        <w:rPr>
          <w:szCs w:val="32"/>
        </w:rPr>
      </w:pPr>
      <w:r>
        <w:rPr>
          <w:szCs w:val="32"/>
        </w:rPr>
        <w:t>2.乙方对甲方所购食材如因特殊原因（不可抗力）无法按要求供货的，应提前一天通知甲方，由双方友好商定是否更换采购品种。</w:t>
      </w:r>
    </w:p>
    <w:p>
      <w:pPr>
        <w:overflowPunct/>
        <w:autoSpaceDE w:val="0"/>
        <w:autoSpaceDN w:val="0"/>
        <w:spacing w:line="560" w:lineRule="exact"/>
        <w:ind w:firstLine="640"/>
        <w:rPr>
          <w:szCs w:val="32"/>
        </w:rPr>
      </w:pPr>
      <w:r>
        <w:rPr>
          <w:szCs w:val="32"/>
        </w:rPr>
        <w:t>3.供货具体时间根据甲方要求确定。</w:t>
      </w:r>
    </w:p>
    <w:p>
      <w:pPr>
        <w:overflowPunct/>
        <w:autoSpaceDE w:val="0"/>
        <w:autoSpaceDN w:val="0"/>
        <w:spacing w:line="560" w:lineRule="exact"/>
        <w:ind w:firstLine="640"/>
        <w:rPr>
          <w:szCs w:val="32"/>
        </w:rPr>
      </w:pPr>
    </w:p>
    <w:p>
      <w:pPr>
        <w:tabs>
          <w:tab w:val="left" w:pos="1719"/>
        </w:tabs>
        <w:kinsoku w:val="0"/>
        <w:spacing w:line="560" w:lineRule="exact"/>
        <w:ind w:firstLine="640"/>
        <w:jc w:val="left"/>
        <w:rPr>
          <w:rFonts w:eastAsia="黑体"/>
          <w:kern w:val="0"/>
          <w:szCs w:val="32"/>
        </w:rPr>
      </w:pPr>
      <w:r>
        <w:rPr>
          <w:rFonts w:eastAsia="黑体"/>
          <w:kern w:val="0"/>
          <w:szCs w:val="32"/>
        </w:rPr>
        <w:t>第三条  食材质量验收标准</w:t>
      </w:r>
    </w:p>
    <w:p>
      <w:pPr>
        <w:overflowPunct/>
        <w:adjustRightInd/>
        <w:spacing w:line="560" w:lineRule="exact"/>
        <w:ind w:firstLine="640"/>
        <w:rPr>
          <w:szCs w:val="32"/>
        </w:rPr>
      </w:pPr>
      <w:r>
        <w:rPr>
          <w:szCs w:val="32"/>
        </w:rPr>
        <w:t>按✕✕✕县（市、区）</w:t>
      </w:r>
      <w:r>
        <w:rPr>
          <w:rFonts w:hint="eastAsia"/>
          <w:szCs w:val="32"/>
        </w:rPr>
        <w:t>中小学食材采购项目</w:t>
      </w:r>
      <w:r>
        <w:rPr>
          <w:szCs w:val="32"/>
        </w:rPr>
        <w:t>合同执行。以下供参考。</w:t>
      </w:r>
    </w:p>
    <w:p>
      <w:pPr>
        <w:overflowPunct/>
        <w:adjustRightInd/>
        <w:spacing w:line="560" w:lineRule="exact"/>
        <w:ind w:firstLine="643"/>
        <w:rPr>
          <w:bCs/>
          <w:szCs w:val="32"/>
        </w:rPr>
      </w:pPr>
      <w:r>
        <w:rPr>
          <w:b/>
          <w:bCs/>
          <w:szCs w:val="32"/>
        </w:rPr>
        <w:t>1.蔬菜、水果类：</w:t>
      </w:r>
      <w:r>
        <w:rPr>
          <w:bCs/>
          <w:szCs w:val="32"/>
        </w:rPr>
        <w:t>成熟度适中、新鲜、色泽良好，形态正常、外观清洁、无腐烂、无霉变、无异味，农药残留不超标（</w:t>
      </w:r>
      <w:r>
        <w:rPr>
          <w:bCs/>
          <w:szCs w:val="32"/>
          <w:lang w:val="zh-CN"/>
        </w:rPr>
        <w:t>需提供同批次农药残留检测合格证明</w:t>
      </w:r>
      <w:r>
        <w:rPr>
          <w:bCs/>
          <w:szCs w:val="32"/>
        </w:rPr>
        <w:t>），损耗（破碎）率低于5%。叶菜：新鲜、外形、色泽正常，叶梗光滑幼嫩，不干瘪凋萎，无过多黄叶。去除根须，不含土，无虫害，大白菜、卷心菜切开无腐烂、无发黑、无明显浸水现象。根茎类（如土豆、香芋、莴笋等）：新鲜、无虫咬、发芽、发霉现象，形态大小与采购标准相当。花果类（如</w:t>
      </w:r>
      <w:r>
        <w:rPr>
          <w:rFonts w:hint="eastAsia"/>
          <w:bCs/>
          <w:szCs w:val="32"/>
          <w:lang w:eastAsia="zh-CN"/>
        </w:rPr>
        <w:t>西蓝花</w:t>
      </w:r>
      <w:r>
        <w:rPr>
          <w:bCs/>
          <w:szCs w:val="32"/>
        </w:rPr>
        <w:t>、菜薹、水果）：新鲜、无虫害，成熟度良好，固有色泽鲜明，无发霉发黄。姜蒜类：表皮干燥，蒜瓣硬实，新鲜、干净、外形完整。</w:t>
      </w:r>
    </w:p>
    <w:p>
      <w:pPr>
        <w:overflowPunct/>
        <w:adjustRightInd/>
        <w:spacing w:line="560" w:lineRule="exact"/>
        <w:ind w:firstLine="643"/>
        <w:rPr>
          <w:bCs/>
          <w:szCs w:val="32"/>
        </w:rPr>
      </w:pPr>
      <w:r>
        <w:rPr>
          <w:b/>
          <w:szCs w:val="32"/>
        </w:rPr>
        <w:t>退货依据：</w:t>
      </w:r>
      <w:r>
        <w:rPr>
          <w:bCs/>
          <w:szCs w:val="32"/>
        </w:rPr>
        <w:t>损耗（破碎）率高于5%，农药残留超标。叶菜：味苦，鲜度嫩度明显不佳，含黄叶须根，泥土、虫害严重，萎蔫严重，浸水后仍不可恢复。根茎类（如土豆、香芋、莴笋等）：发芽严重、发霉，新鲜度不佳，形态大小与采购标准存在较大负偏差。花果类（如</w:t>
      </w:r>
      <w:r>
        <w:rPr>
          <w:rFonts w:hint="eastAsia"/>
          <w:bCs/>
          <w:szCs w:val="32"/>
          <w:lang w:eastAsia="zh-CN"/>
        </w:rPr>
        <w:t>西蓝花</w:t>
      </w:r>
      <w:r>
        <w:rPr>
          <w:bCs/>
          <w:szCs w:val="32"/>
        </w:rPr>
        <w:t>、菜薹、水果）：不新鲜，发霉，虫害过多。姜蒜类：表皮湿度大，蒜瓣蔫软，发芽，腐烂、泥土过多，冻伤。</w:t>
      </w:r>
    </w:p>
    <w:p>
      <w:pPr>
        <w:overflowPunct/>
        <w:adjustRightInd/>
        <w:spacing w:line="560" w:lineRule="exact"/>
        <w:ind w:firstLine="643"/>
        <w:rPr>
          <w:kern w:val="0"/>
          <w:szCs w:val="32"/>
        </w:rPr>
      </w:pPr>
      <w:r>
        <w:rPr>
          <w:b/>
          <w:bCs/>
          <w:szCs w:val="32"/>
        </w:rPr>
        <w:t>2.肉蛋、速冻食品类：</w:t>
      </w:r>
      <w:r>
        <w:rPr>
          <w:bCs/>
          <w:szCs w:val="32"/>
        </w:rPr>
        <w:t>必须具有动物检验检疫合格证明或“QS”食品质量认证标志；冷鲜猪肉须定点宰杀，盖有检验合格戳记，并有书面依据，皮质细腻，脂肪洁白，精肉红润鲜嫩，新鲜，有弹性，手擦脂肪有油腻，无注水，无包囊，无异味。子排：新鲜、表面不带油膘，中间隔层油膘不得超过0.5厘米。条肉：新鲜、中方产品（不带大排），中间隔层油膘不得超过1厘米。猪后腿净肉：新鲜、不带碎骨、不带肥肉，肉色鲜艳，无病变、不打水。五花肉：新鲜、要求中肋部分</w:t>
      </w:r>
      <w:r>
        <w:rPr>
          <w:rFonts w:hint="eastAsia"/>
          <w:bCs/>
          <w:szCs w:val="32"/>
          <w:lang w:eastAsia="zh-CN"/>
        </w:rPr>
        <w:t>正方形</w:t>
      </w:r>
      <w:r>
        <w:rPr>
          <w:bCs/>
          <w:szCs w:val="32"/>
        </w:rPr>
        <w:t>，不带腩肉，带少量排骨，肉色鲜艳，层次分明。冷鲜禽肉：须活禽宰杀，质量符合《GB 2707-2016 鲜（冻）畜、禽产品》标准，新鲜、皮肤有光泽、色泽正常，肌肉结实而有弹性、无变质，无任何内脏，无注水，无异味无毛、按压无水迹，需提供同批次动物检疫合格证明。</w:t>
      </w:r>
      <w:r>
        <w:rPr>
          <w:bCs/>
          <w:szCs w:val="32"/>
          <w:lang w:val="zh-CN"/>
        </w:rPr>
        <w:t>禽蛋类：</w:t>
      </w:r>
      <w:r>
        <w:rPr>
          <w:kern w:val="0"/>
          <w:szCs w:val="32"/>
        </w:rPr>
        <w:t>符合《GB 2749-2015食品安全国家标准蛋与蛋制品》标准，出栏到供货不超过7天，绿色、有机、无公害，需有清洁包装。无破损、有光泽、透光性好，不见或略见蛋黄暗影，气室小，内无斑点或斑块。</w:t>
      </w:r>
      <w:r>
        <w:rPr>
          <w:bCs/>
          <w:szCs w:val="32"/>
          <w:lang w:val="zh-CN"/>
        </w:rPr>
        <w:t>速冻食品类：</w:t>
      </w:r>
      <w:r>
        <w:rPr>
          <w:bCs/>
          <w:szCs w:val="32"/>
        </w:rPr>
        <w:t>具有产品应有的状态、色泽、气味，无异味、无正常视力可见外来异物，</w:t>
      </w:r>
      <w:r>
        <w:rPr>
          <w:kern w:val="0"/>
          <w:szCs w:val="32"/>
          <w:lang w:val="zh-CN"/>
        </w:rPr>
        <w:t>生产日期</w:t>
      </w:r>
      <w:r>
        <w:rPr>
          <w:kern w:val="0"/>
          <w:szCs w:val="32"/>
        </w:rPr>
        <w:t>至供货日期天数须在</w:t>
      </w:r>
      <w:r>
        <w:rPr>
          <w:kern w:val="0"/>
          <w:szCs w:val="32"/>
          <w:lang w:val="zh-CN"/>
        </w:rPr>
        <w:t>保质期二分之一</w:t>
      </w:r>
      <w:r>
        <w:rPr>
          <w:kern w:val="0"/>
          <w:szCs w:val="32"/>
        </w:rPr>
        <w:t>内</w:t>
      </w:r>
      <w:r>
        <w:rPr>
          <w:b/>
          <w:szCs w:val="32"/>
          <w:lang w:val="zh-CN"/>
        </w:rPr>
        <w:t>，</w:t>
      </w:r>
      <w:r>
        <w:rPr>
          <w:kern w:val="0"/>
          <w:szCs w:val="32"/>
        </w:rPr>
        <w:t>符合《GB 31646-2018 速冻食品生产和经营卫生规范》，有产品合格证明文件；动物产品提供《动物检疫合格证明》、检测报告等</w:t>
      </w:r>
      <w:r>
        <w:rPr>
          <w:bCs/>
          <w:szCs w:val="32"/>
        </w:rPr>
        <w:t>。</w:t>
      </w:r>
    </w:p>
    <w:p>
      <w:pPr>
        <w:overflowPunct/>
        <w:adjustRightInd/>
        <w:spacing w:line="560" w:lineRule="exact"/>
        <w:ind w:firstLine="643"/>
        <w:rPr>
          <w:bCs/>
          <w:szCs w:val="32"/>
        </w:rPr>
      </w:pPr>
      <w:r>
        <w:rPr>
          <w:b/>
          <w:szCs w:val="32"/>
        </w:rPr>
        <w:t>退货依据：</w:t>
      </w:r>
      <w:r>
        <w:rPr>
          <w:bCs/>
          <w:szCs w:val="32"/>
        </w:rPr>
        <w:t>肉禽类、速冻食品类与验收标准不符，蛋类与验收标准不符，有异味、破损率超过3%。</w:t>
      </w:r>
    </w:p>
    <w:p>
      <w:pPr>
        <w:overflowPunct/>
        <w:adjustRightInd/>
        <w:spacing w:line="560" w:lineRule="exact"/>
        <w:ind w:firstLine="643"/>
        <w:rPr>
          <w:bCs/>
          <w:szCs w:val="32"/>
        </w:rPr>
      </w:pPr>
      <w:r>
        <w:rPr>
          <w:b/>
          <w:bCs/>
          <w:szCs w:val="32"/>
        </w:rPr>
        <w:t>3.水产类：</w:t>
      </w:r>
      <w:r>
        <w:rPr>
          <w:bCs/>
          <w:szCs w:val="32"/>
        </w:rPr>
        <w:t>须保证鲜活、新鲜，大小基本统一，鲜活类水产</w:t>
      </w:r>
      <w:r>
        <w:rPr>
          <w:rFonts w:hint="eastAsia"/>
          <w:bCs/>
          <w:szCs w:val="32"/>
          <w:lang w:eastAsia="zh-CN"/>
        </w:rPr>
        <w:t>需</w:t>
      </w:r>
      <w:r>
        <w:rPr>
          <w:bCs/>
          <w:szCs w:val="32"/>
        </w:rPr>
        <w:t>保证为3日内产品，海产品需保证为3个月内产品。鲜活鱼体表面无损伤、呼吸均匀、游动自如，鲜鱼体硬、挺直不弯，鳃盖紧合、腮鲜红，鳞片紧附鱼体、鱼眼饱满、角膜光亮透明，肉不离刺、肚不破、无腐败气味；水产类净菜须保证处理干净、表面无鳞片、血迹、内脏清理彻底、无异味。海产品类体硬、明亮、体表带原有色泽，破肚率小于等于5%；海产品须为通过检验检疫依法销售的产品。</w:t>
      </w:r>
    </w:p>
    <w:p>
      <w:pPr>
        <w:overflowPunct/>
        <w:adjustRightInd/>
        <w:spacing w:line="560" w:lineRule="exact"/>
        <w:ind w:firstLine="643"/>
        <w:rPr>
          <w:bCs/>
          <w:szCs w:val="32"/>
        </w:rPr>
      </w:pPr>
      <w:r>
        <w:rPr>
          <w:b/>
          <w:szCs w:val="32"/>
        </w:rPr>
        <w:t>退货依据：</w:t>
      </w:r>
      <w:r>
        <w:rPr>
          <w:bCs/>
          <w:szCs w:val="32"/>
        </w:rPr>
        <w:t>鲜活度低下，体表色暗淡，无关黏液透明度较差、浑浊且有腐败味；鳞不完整松弛、易剥落；鳃盖松弛，鳃丝粘连，呈淡红暗红或灰红褐色，有显著腥味；眼球凹陷，角膜混沌或发糊；腹部膨胀或变软，表面发暗色或淡绿色斑点；肌肉松弛，弹性差。</w:t>
      </w:r>
    </w:p>
    <w:p>
      <w:pPr>
        <w:overflowPunct/>
        <w:adjustRightInd/>
        <w:spacing w:line="560" w:lineRule="exact"/>
        <w:ind w:firstLine="643"/>
        <w:rPr>
          <w:bCs/>
          <w:szCs w:val="32"/>
        </w:rPr>
      </w:pPr>
      <w:r>
        <w:rPr>
          <w:b/>
          <w:bCs/>
          <w:szCs w:val="32"/>
        </w:rPr>
        <w:t>4.米面干货、油调味品、乳品、烘焙零食、水饮类：</w:t>
      </w:r>
      <w:r>
        <w:rPr>
          <w:bCs/>
          <w:szCs w:val="32"/>
        </w:rPr>
        <w:t>包装完整、无任何破损、无挤压、无异味、无任何表面附着物或衍生物，且包装上的商品名称、厂址、规格等与内容物相符，</w:t>
      </w:r>
      <w:r>
        <w:rPr>
          <w:rFonts w:hint="eastAsia"/>
          <w:bCs/>
          <w:szCs w:val="32"/>
        </w:rPr>
        <w:t>标识</w:t>
      </w:r>
      <w:r>
        <w:rPr>
          <w:bCs/>
          <w:szCs w:val="32"/>
        </w:rPr>
        <w:t>清晰、批次清楚，生产日期至供货日期天数须在保质期</w:t>
      </w:r>
      <w:r>
        <w:rPr>
          <w:bCs/>
          <w:szCs w:val="32"/>
          <w:lang w:val="zh-CN"/>
        </w:rPr>
        <w:t>二分之一</w:t>
      </w:r>
      <w:r>
        <w:rPr>
          <w:bCs/>
          <w:szCs w:val="32"/>
        </w:rPr>
        <w:t>内等。</w:t>
      </w:r>
    </w:p>
    <w:p>
      <w:pPr>
        <w:overflowPunct/>
        <w:adjustRightInd/>
        <w:spacing w:line="560" w:lineRule="exact"/>
        <w:ind w:firstLine="643"/>
        <w:rPr>
          <w:bCs/>
          <w:szCs w:val="32"/>
        </w:rPr>
      </w:pPr>
      <w:r>
        <w:rPr>
          <w:b/>
          <w:szCs w:val="32"/>
        </w:rPr>
        <w:t>退货依据：</w:t>
      </w:r>
      <w:r>
        <w:rPr>
          <w:bCs/>
          <w:szCs w:val="32"/>
        </w:rPr>
        <w:t>无“QS”食品质量安全认证的产品；无品名、产地、厂名、生产日期、保质期及中文标识及原料说明的定型包装食品；超过保质期限或不符合食品标签规定的定型包装食品。腐败变质，油脂酸败、霉变、生虫、污秽不洁、混有异物或者其他感官性状异常，含有毒、有害物质污染，可能对人体健康有害的食品。</w:t>
      </w:r>
    </w:p>
    <w:p>
      <w:pPr>
        <w:overflowPunct/>
        <w:adjustRightInd/>
        <w:spacing w:line="560" w:lineRule="exact"/>
        <w:ind w:firstLine="640"/>
        <w:rPr>
          <w:bCs/>
          <w:szCs w:val="32"/>
        </w:rPr>
      </w:pPr>
      <w:r>
        <w:rPr>
          <w:bCs/>
          <w:szCs w:val="32"/>
        </w:rPr>
        <w:t>以上质量标准如有新的国家或行业标准出台，则以最新标准执行。</w:t>
      </w:r>
    </w:p>
    <w:p>
      <w:pPr>
        <w:overflowPunct/>
        <w:adjustRightInd/>
        <w:spacing w:line="560" w:lineRule="exact"/>
        <w:ind w:firstLine="640"/>
        <w:rPr>
          <w:bCs/>
          <w:szCs w:val="32"/>
        </w:rPr>
      </w:pPr>
    </w:p>
    <w:p>
      <w:pPr>
        <w:overflowPunct/>
        <w:autoSpaceDE w:val="0"/>
        <w:autoSpaceDN w:val="0"/>
        <w:spacing w:line="560" w:lineRule="exact"/>
        <w:ind w:firstLine="640"/>
        <w:jc w:val="left"/>
        <w:rPr>
          <w:rFonts w:eastAsia="黑体"/>
          <w:kern w:val="0"/>
          <w:szCs w:val="32"/>
        </w:rPr>
      </w:pPr>
      <w:r>
        <w:rPr>
          <w:rFonts w:eastAsia="黑体"/>
          <w:kern w:val="0"/>
          <w:szCs w:val="32"/>
        </w:rPr>
        <w:t>第四条  食材验收及考核评价</w:t>
      </w:r>
    </w:p>
    <w:p>
      <w:pPr>
        <w:overflowPunct/>
        <w:adjustRightInd/>
        <w:snapToGrid/>
        <w:spacing w:line="560" w:lineRule="exact"/>
        <w:ind w:firstLine="640"/>
        <w:rPr>
          <w:bCs/>
          <w:szCs w:val="32"/>
        </w:rPr>
      </w:pPr>
      <w:r>
        <w:rPr>
          <w:bCs/>
          <w:szCs w:val="32"/>
        </w:rPr>
        <w:t>1.甲方检验食材形态、色泽、气味等</w:t>
      </w:r>
      <w:r>
        <w:rPr>
          <w:rFonts w:hint="eastAsia"/>
          <w:bCs/>
          <w:szCs w:val="32"/>
          <w:lang w:eastAsia="zh-CN"/>
        </w:rPr>
        <w:t>感官</w:t>
      </w:r>
      <w:r>
        <w:rPr>
          <w:bCs/>
          <w:szCs w:val="32"/>
        </w:rPr>
        <w:t>性状是否正常，重点查验食材名称、品牌、质量、数量、生产日期、保质期是否符合合同约定及凭证是否齐全等。</w:t>
      </w:r>
    </w:p>
    <w:p>
      <w:pPr>
        <w:overflowPunct/>
        <w:adjustRightInd/>
        <w:snapToGrid/>
        <w:spacing w:line="560" w:lineRule="exact"/>
        <w:ind w:firstLine="640"/>
        <w:rPr>
          <w:bCs/>
          <w:szCs w:val="32"/>
        </w:rPr>
      </w:pPr>
      <w:r>
        <w:rPr>
          <w:bCs/>
          <w:szCs w:val="32"/>
        </w:rPr>
        <w:t>2.甲方组织食材验收和对供应商进行评价，验收结</w:t>
      </w:r>
      <w:r>
        <w:rPr>
          <w:rFonts w:hint="eastAsia"/>
          <w:bCs/>
          <w:szCs w:val="32"/>
        </w:rPr>
        <w:t>束后</w:t>
      </w:r>
      <w:r>
        <w:rPr>
          <w:bCs/>
          <w:szCs w:val="32"/>
        </w:rPr>
        <w:t>双方在评价表上签字确认生效。</w:t>
      </w:r>
    </w:p>
    <w:p>
      <w:pPr>
        <w:overflowPunct/>
        <w:adjustRightInd/>
        <w:snapToGrid/>
        <w:spacing w:line="560" w:lineRule="exact"/>
        <w:ind w:firstLine="640"/>
        <w:rPr>
          <w:bCs/>
          <w:szCs w:val="32"/>
        </w:rPr>
      </w:pPr>
      <w:r>
        <w:rPr>
          <w:bCs/>
          <w:szCs w:val="32"/>
        </w:rPr>
        <w:t>3.供应商负面清单和退出机制（见附表），乙方如在合同履行期间</w:t>
      </w:r>
      <w:r>
        <w:rPr>
          <w:rFonts w:hint="eastAsia"/>
          <w:bCs/>
          <w:szCs w:val="32"/>
          <w:lang w:eastAsia="zh-CN"/>
        </w:rPr>
        <w:t>触发退出机制</w:t>
      </w:r>
      <w:r>
        <w:rPr>
          <w:bCs/>
          <w:szCs w:val="32"/>
        </w:rPr>
        <w:t>的，按供货合同相关规定执行。</w:t>
      </w:r>
    </w:p>
    <w:p>
      <w:pPr>
        <w:spacing w:line="240" w:lineRule="atLeast"/>
        <w:ind w:firstLine="480"/>
        <w:jc w:val="center"/>
        <w:rPr>
          <w:rFonts w:eastAsia="黑体"/>
          <w:sz w:val="24"/>
        </w:rPr>
      </w:pPr>
    </w:p>
    <w:p>
      <w:pPr>
        <w:spacing w:line="240" w:lineRule="atLeast"/>
        <w:ind w:firstLine="480"/>
        <w:jc w:val="center"/>
        <w:rPr>
          <w:rFonts w:eastAsia="黑体"/>
          <w:sz w:val="24"/>
        </w:rPr>
      </w:pPr>
    </w:p>
    <w:p>
      <w:pPr>
        <w:spacing w:line="240" w:lineRule="atLeast"/>
        <w:ind w:firstLine="480"/>
        <w:jc w:val="center"/>
        <w:rPr>
          <w:rFonts w:eastAsia="黑体"/>
          <w:sz w:val="24"/>
        </w:rPr>
      </w:pPr>
    </w:p>
    <w:p>
      <w:pPr>
        <w:spacing w:line="240" w:lineRule="atLeast"/>
        <w:ind w:firstLine="480"/>
        <w:jc w:val="center"/>
        <w:rPr>
          <w:rFonts w:eastAsia="黑体"/>
          <w:sz w:val="24"/>
        </w:rPr>
      </w:pPr>
    </w:p>
    <w:p>
      <w:pPr>
        <w:spacing w:line="240" w:lineRule="atLeast"/>
        <w:ind w:firstLine="480"/>
        <w:jc w:val="center"/>
        <w:rPr>
          <w:rFonts w:eastAsia="黑体"/>
          <w:sz w:val="24"/>
        </w:rPr>
      </w:pPr>
    </w:p>
    <w:p>
      <w:pPr>
        <w:spacing w:line="240" w:lineRule="atLeast"/>
        <w:ind w:firstLine="480"/>
        <w:jc w:val="center"/>
        <w:rPr>
          <w:rFonts w:eastAsia="黑体"/>
          <w:sz w:val="24"/>
        </w:rPr>
      </w:pPr>
    </w:p>
    <w:p>
      <w:pPr>
        <w:spacing w:line="240" w:lineRule="atLeast"/>
        <w:ind w:firstLine="480"/>
        <w:jc w:val="center"/>
        <w:rPr>
          <w:rFonts w:eastAsia="黑体"/>
          <w:sz w:val="24"/>
        </w:rPr>
      </w:pPr>
    </w:p>
    <w:p>
      <w:pPr>
        <w:spacing w:line="240" w:lineRule="atLeast"/>
        <w:ind w:firstLine="480"/>
        <w:rPr>
          <w:rFonts w:eastAsia="黑体"/>
          <w:sz w:val="24"/>
        </w:rPr>
      </w:pPr>
    </w:p>
    <w:p>
      <w:pPr>
        <w:spacing w:line="240" w:lineRule="atLeast"/>
        <w:ind w:firstLine="480"/>
        <w:rPr>
          <w:rFonts w:eastAsia="黑体"/>
          <w:sz w:val="24"/>
        </w:rPr>
      </w:pPr>
    </w:p>
    <w:p>
      <w:pPr>
        <w:spacing w:line="240" w:lineRule="atLeast"/>
        <w:ind w:firstLine="480"/>
        <w:rPr>
          <w:rFonts w:eastAsia="黑体"/>
          <w:sz w:val="24"/>
        </w:rPr>
      </w:pPr>
    </w:p>
    <w:p>
      <w:pPr>
        <w:spacing w:line="240" w:lineRule="atLeast"/>
        <w:ind w:firstLine="480"/>
        <w:rPr>
          <w:rFonts w:eastAsia="黑体"/>
          <w:sz w:val="24"/>
        </w:rPr>
      </w:pPr>
    </w:p>
    <w:p>
      <w:pPr>
        <w:spacing w:line="240" w:lineRule="atLeast"/>
        <w:ind w:firstLine="600"/>
        <w:jc w:val="center"/>
        <w:rPr>
          <w:rFonts w:eastAsia="楷体"/>
          <w:sz w:val="30"/>
          <w:szCs w:val="30"/>
        </w:rPr>
      </w:pPr>
      <w:r>
        <w:rPr>
          <w:rFonts w:eastAsia="黑体"/>
          <w:sz w:val="30"/>
          <w:szCs w:val="30"/>
        </w:rPr>
        <w:t>食材供应商考核评价</w:t>
      </w:r>
    </w:p>
    <w:tbl>
      <w:tblPr>
        <w:tblStyle w:val="23"/>
        <w:tblW w:w="936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52"/>
        <w:gridCol w:w="6056"/>
        <w:gridCol w:w="728"/>
        <w:gridCol w:w="728"/>
        <w:gridCol w:w="72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7177" w:type="dxa"/>
            <w:gridSpan w:val="3"/>
            <w:vMerge w:val="restart"/>
            <w:vAlign w:val="center"/>
          </w:tcPr>
          <w:p>
            <w:pPr>
              <w:overflowPunct/>
              <w:adjustRightInd/>
              <w:snapToGrid/>
              <w:spacing w:line="300" w:lineRule="exact"/>
              <w:ind w:firstLine="422" w:firstLineChars="0"/>
              <w:jc w:val="center"/>
              <w:rPr>
                <w:rFonts w:eastAsia="宋体"/>
                <w:b/>
                <w:bCs/>
                <w:sz w:val="21"/>
              </w:rPr>
            </w:pPr>
            <w:r>
              <w:rPr>
                <w:rFonts w:eastAsia="宋体"/>
                <w:b/>
                <w:bCs/>
                <w:sz w:val="21"/>
              </w:rPr>
              <w:t>服务行为</w:t>
            </w:r>
          </w:p>
        </w:tc>
        <w:tc>
          <w:tcPr>
            <w:tcW w:w="2185" w:type="dxa"/>
            <w:gridSpan w:val="3"/>
            <w:tcBorders>
              <w:bottom w:val="single" w:color="auto" w:sz="4" w:space="0"/>
            </w:tcBorders>
            <w:vAlign w:val="center"/>
          </w:tcPr>
          <w:p>
            <w:pPr>
              <w:overflowPunct/>
              <w:adjustRightInd/>
              <w:snapToGrid/>
              <w:spacing w:line="300" w:lineRule="exact"/>
              <w:ind w:firstLine="0" w:firstLineChars="0"/>
              <w:jc w:val="center"/>
              <w:rPr>
                <w:rFonts w:eastAsia="宋体"/>
                <w:b/>
                <w:bCs/>
                <w:sz w:val="21"/>
              </w:rPr>
            </w:pPr>
            <w:r>
              <w:rPr>
                <w:rFonts w:eastAsia="宋体"/>
                <w:b/>
                <w:bCs/>
                <w:sz w:val="21"/>
              </w:rPr>
              <w:t>扣分值</w:t>
            </w:r>
          </w:p>
          <w:p>
            <w:pPr>
              <w:overflowPunct/>
              <w:adjustRightInd/>
              <w:snapToGrid/>
              <w:spacing w:line="300" w:lineRule="exact"/>
              <w:ind w:firstLine="0" w:firstLineChars="0"/>
              <w:jc w:val="center"/>
              <w:rPr>
                <w:rFonts w:eastAsia="宋体"/>
                <w:b/>
                <w:bCs/>
                <w:sz w:val="21"/>
              </w:rPr>
            </w:pPr>
            <w:r>
              <w:rPr>
                <w:rFonts w:eastAsia="宋体"/>
                <w:b/>
                <w:bCs/>
                <w:sz w:val="18"/>
                <w:szCs w:val="18"/>
              </w:rPr>
              <w:t>（按行为程度）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44" w:hRule="atLeast"/>
          <w:tblHeader/>
          <w:jc w:val="center"/>
        </w:trPr>
        <w:tc>
          <w:tcPr>
            <w:tcW w:w="7177" w:type="dxa"/>
            <w:gridSpan w:val="3"/>
            <w:vMerge w:val="continue"/>
            <w:tcBorders>
              <w:bottom w:val="double" w:color="auto" w:sz="4" w:space="0"/>
            </w:tcBorders>
            <w:vAlign w:val="center"/>
          </w:tcPr>
          <w:p>
            <w:pPr>
              <w:overflowPunct/>
              <w:adjustRightInd/>
              <w:snapToGrid/>
              <w:spacing w:line="300" w:lineRule="exact"/>
              <w:ind w:firstLine="422" w:firstLineChars="0"/>
              <w:jc w:val="center"/>
              <w:rPr>
                <w:rFonts w:eastAsia="宋体"/>
                <w:b/>
                <w:bCs/>
                <w:sz w:val="21"/>
              </w:rPr>
            </w:pPr>
          </w:p>
        </w:tc>
        <w:tc>
          <w:tcPr>
            <w:tcW w:w="728"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rPr>
            </w:pPr>
            <w:r>
              <w:rPr>
                <w:rFonts w:eastAsia="宋体"/>
                <w:b/>
                <w:bCs/>
                <w:sz w:val="21"/>
              </w:rPr>
              <w:t>一般</w:t>
            </w:r>
          </w:p>
        </w:tc>
        <w:tc>
          <w:tcPr>
            <w:tcW w:w="728"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rPr>
            </w:pPr>
            <w:r>
              <w:rPr>
                <w:rFonts w:eastAsia="宋体"/>
                <w:b/>
                <w:bCs/>
                <w:sz w:val="21"/>
              </w:rPr>
              <w:t>严重</w:t>
            </w:r>
          </w:p>
        </w:tc>
        <w:tc>
          <w:tcPr>
            <w:tcW w:w="729"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rPr>
            </w:pPr>
            <w:r>
              <w:rPr>
                <w:rFonts w:eastAsia="宋体"/>
                <w:b/>
                <w:bCs/>
                <w:sz w:val="21"/>
              </w:rPr>
              <w:t>特别严重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69" w:type="dxa"/>
            <w:tcBorders>
              <w:top w:val="double" w:color="auto" w:sz="4" w:space="0"/>
            </w:tcBorders>
            <w:vAlign w:val="center"/>
          </w:tcPr>
          <w:p>
            <w:pPr>
              <w:overflowPunct/>
              <w:adjustRightInd/>
              <w:snapToGrid/>
              <w:spacing w:line="360" w:lineRule="auto"/>
              <w:ind w:firstLine="0" w:firstLineChars="0"/>
              <w:jc w:val="center"/>
              <w:rPr>
                <w:rFonts w:eastAsia="宋体"/>
                <w:sz w:val="21"/>
              </w:rPr>
            </w:pPr>
            <w:r>
              <w:rPr>
                <w:rFonts w:eastAsia="宋体"/>
                <w:sz w:val="21"/>
              </w:rPr>
              <w:t>负面清单扣分项</w:t>
            </w:r>
          </w:p>
        </w:tc>
        <w:tc>
          <w:tcPr>
            <w:tcW w:w="452" w:type="dxa"/>
            <w:tcBorders>
              <w:top w:val="double" w:color="auto" w:sz="4" w:space="0"/>
            </w:tcBorders>
            <w:vAlign w:val="center"/>
          </w:tcPr>
          <w:p>
            <w:pPr>
              <w:overflowPunct/>
              <w:adjustRightInd/>
              <w:snapToGrid/>
              <w:spacing w:line="300" w:lineRule="exact"/>
              <w:ind w:firstLine="0" w:firstLineChars="0"/>
              <w:jc w:val="center"/>
              <w:rPr>
                <w:rFonts w:eastAsia="宋体"/>
                <w:sz w:val="21"/>
              </w:rPr>
            </w:pPr>
            <w:r>
              <w:rPr>
                <w:rFonts w:eastAsia="宋体"/>
                <w:sz w:val="21"/>
              </w:rPr>
              <w:t>1</w:t>
            </w:r>
          </w:p>
        </w:tc>
        <w:tc>
          <w:tcPr>
            <w:tcW w:w="6056" w:type="dxa"/>
            <w:tcBorders>
              <w:top w:val="double" w:color="auto" w:sz="4" w:space="0"/>
            </w:tcBorders>
            <w:vAlign w:val="center"/>
          </w:tcPr>
          <w:p>
            <w:pPr>
              <w:overflowPunct/>
              <w:adjustRightInd/>
              <w:snapToGrid/>
              <w:spacing w:line="300" w:lineRule="exact"/>
              <w:ind w:firstLine="0" w:firstLineChars="0"/>
              <w:rPr>
                <w:rFonts w:eastAsia="宋体"/>
                <w:sz w:val="21"/>
              </w:rPr>
            </w:pPr>
            <w:r>
              <w:rPr>
                <w:rFonts w:eastAsia="宋体"/>
                <w:sz w:val="21"/>
              </w:rPr>
              <w:t>供应商供应食材不符合合同规定验收标准。</w:t>
            </w:r>
          </w:p>
        </w:tc>
        <w:tc>
          <w:tcPr>
            <w:tcW w:w="728" w:type="dxa"/>
            <w:tcBorders>
              <w:top w:val="double" w:color="auto" w:sz="4" w:space="0"/>
            </w:tcBorders>
            <w:vAlign w:val="center"/>
          </w:tcPr>
          <w:p>
            <w:pPr>
              <w:overflowPunct/>
              <w:adjustRightInd/>
              <w:snapToGrid/>
              <w:spacing w:line="300" w:lineRule="exact"/>
              <w:ind w:firstLine="0" w:firstLineChars="0"/>
              <w:jc w:val="center"/>
              <w:rPr>
                <w:rFonts w:eastAsia="宋体"/>
                <w:sz w:val="21"/>
              </w:rPr>
            </w:pPr>
            <w:r>
              <w:rPr>
                <w:rFonts w:eastAsia="宋体"/>
                <w:sz w:val="21"/>
              </w:rPr>
              <w:t>-1</w:t>
            </w:r>
          </w:p>
        </w:tc>
        <w:tc>
          <w:tcPr>
            <w:tcW w:w="728" w:type="dxa"/>
            <w:tcBorders>
              <w:top w:val="double" w:color="auto" w:sz="4" w:space="0"/>
            </w:tcBorders>
            <w:vAlign w:val="center"/>
          </w:tcPr>
          <w:p>
            <w:pPr>
              <w:overflowPunct/>
              <w:adjustRightInd/>
              <w:snapToGrid/>
              <w:spacing w:line="300" w:lineRule="exact"/>
              <w:ind w:firstLine="0" w:firstLineChars="0"/>
              <w:jc w:val="center"/>
              <w:rPr>
                <w:rFonts w:eastAsia="宋体"/>
                <w:sz w:val="21"/>
              </w:rPr>
            </w:pPr>
            <w:r>
              <w:rPr>
                <w:rFonts w:eastAsia="宋体"/>
                <w:sz w:val="21"/>
              </w:rPr>
              <w:t>-2</w:t>
            </w:r>
          </w:p>
        </w:tc>
        <w:tc>
          <w:tcPr>
            <w:tcW w:w="729" w:type="dxa"/>
            <w:tcBorders>
              <w:top w:val="double" w:color="auto" w:sz="4" w:space="0"/>
            </w:tcBorders>
            <w:vAlign w:val="center"/>
          </w:tcPr>
          <w:p>
            <w:pPr>
              <w:overflowPunct/>
              <w:adjustRightInd/>
              <w:snapToGrid/>
              <w:spacing w:line="300" w:lineRule="exact"/>
              <w:ind w:firstLine="0" w:firstLineChars="0"/>
              <w:jc w:val="center"/>
              <w:rPr>
                <w:rFonts w:eastAsia="宋体"/>
                <w:sz w:val="21"/>
              </w:rPr>
            </w:pPr>
            <w:r>
              <w:rPr>
                <w:rFonts w:eastAsia="宋体"/>
                <w:sz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tcBorders>
              <w:top w:val="double" w:color="auto" w:sz="4" w:space="0"/>
              <w:tl2br w:val="nil"/>
              <w:tr2bl w:val="nil"/>
            </w:tcBorders>
            <w:vAlign w:val="center"/>
          </w:tcPr>
          <w:p>
            <w:pPr>
              <w:overflowPunct/>
              <w:adjustRightInd/>
              <w:snapToGrid/>
              <w:spacing w:line="360" w:lineRule="auto"/>
              <w:ind w:firstLine="0" w:firstLineChars="0"/>
              <w:jc w:val="center"/>
              <w:rPr>
                <w:rFonts w:eastAsia="宋体"/>
                <w:sz w:val="21"/>
              </w:rPr>
            </w:pPr>
            <w:r>
              <w:rPr>
                <w:rFonts w:eastAsia="宋体"/>
                <w:sz w:val="21"/>
              </w:rPr>
              <w:t>触发退出机制</w:t>
            </w:r>
          </w:p>
        </w:tc>
        <w:tc>
          <w:tcPr>
            <w:tcW w:w="452" w:type="dxa"/>
            <w:tcBorders>
              <w:top w:val="double" w:color="auto" w:sz="4" w:space="0"/>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1</w:t>
            </w:r>
          </w:p>
        </w:tc>
        <w:tc>
          <w:tcPr>
            <w:tcW w:w="8241" w:type="dxa"/>
            <w:gridSpan w:val="4"/>
            <w:tcBorders>
              <w:top w:val="double" w:color="auto" w:sz="4" w:space="0"/>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因供货食材问题而发生校园食品安全事故。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2</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将部分或全部食材供应工作分包或转包。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3</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以缺货、亏本等原因（不可抗力因素除外）拒不供货的或擅自供应食材库外的食材。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4</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供货中存在无理取闹、胡搅蛮缠、捏造事实及恶意投诉举报行为。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5</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向学校提供假冒伪劣食材，擅自更换中标品种、降低供货品级，以物换物、以次充好。</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6</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存在向学校食堂从业人员含厨师、验收人员、保管员、会计及其他管理者行贿行为的或与上述人员勾结，出现以次充好、虚报数量、虚开发票等行为。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7</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存在串标、围标、恶意低价竞标、恶意哄抬价格等违规行为。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8</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一年之内违反《食品安全法》行为被处以两次及以上责令改正、警告或较重罚款或责令停产停业的、吊销许可证或构成犯罪移送</w:t>
            </w:r>
            <w:r>
              <w:rPr>
                <w:rFonts w:hint="eastAsia" w:eastAsia="宋体"/>
                <w:sz w:val="21"/>
              </w:rPr>
              <w:t>司法机关</w:t>
            </w:r>
            <w:r>
              <w:rPr>
                <w:rFonts w:eastAsia="宋体"/>
                <w:sz w:val="21"/>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9</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拒绝、阻挠有关部门检查或暴力抗法。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10</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伪造或故意破坏现场的，转移、隐匿、伪造、销毁有关证据资料。</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center"/>
              <w:rPr>
                <w:rFonts w:eastAsia="宋体"/>
                <w:sz w:val="21"/>
              </w:rPr>
            </w:pPr>
            <w:r>
              <w:rPr>
                <w:rFonts w:eastAsia="宋体"/>
                <w:sz w:val="21"/>
              </w:rPr>
              <w:t>11</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供应商或法定代表人被列入失信名单。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overflowPunct/>
              <w:adjustRightInd/>
              <w:snapToGrid/>
              <w:spacing w:line="360" w:lineRule="auto"/>
              <w:ind w:firstLine="0" w:firstLineChars="0"/>
              <w:rPr>
                <w:rFonts w:eastAsia="宋体"/>
                <w:sz w:val="21"/>
              </w:rPr>
            </w:pPr>
          </w:p>
        </w:tc>
        <w:tc>
          <w:tcPr>
            <w:tcW w:w="452" w:type="dxa"/>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12</w:t>
            </w:r>
          </w:p>
        </w:tc>
        <w:tc>
          <w:tcPr>
            <w:tcW w:w="8241" w:type="dxa"/>
            <w:gridSpan w:val="4"/>
            <w:tcBorders>
              <w:tl2br w:val="nil"/>
              <w:tr2bl w:val="nil"/>
            </w:tcBorders>
            <w:vAlign w:val="center"/>
          </w:tcPr>
          <w:p>
            <w:pPr>
              <w:overflowPunct/>
              <w:adjustRightInd/>
              <w:snapToGrid/>
              <w:spacing w:line="240" w:lineRule="auto"/>
              <w:ind w:firstLine="0" w:firstLineChars="0"/>
              <w:jc w:val="left"/>
              <w:rPr>
                <w:rFonts w:eastAsia="宋体"/>
                <w:sz w:val="21"/>
              </w:rPr>
            </w:pPr>
            <w:r>
              <w:rPr>
                <w:rFonts w:eastAsia="宋体"/>
                <w:sz w:val="21"/>
              </w:rPr>
              <w:t>服务分低于70分</w:t>
            </w:r>
          </w:p>
        </w:tc>
      </w:tr>
    </w:tbl>
    <w:p>
      <w:pPr>
        <w:spacing w:line="240" w:lineRule="atLeast"/>
        <w:ind w:firstLine="0" w:firstLineChars="0"/>
        <w:rPr>
          <w:rFonts w:eastAsia="楷体"/>
          <w:sz w:val="20"/>
          <w:szCs w:val="20"/>
        </w:rPr>
      </w:pPr>
      <w:r>
        <w:rPr>
          <w:rFonts w:eastAsia="楷体"/>
          <w:sz w:val="20"/>
          <w:szCs w:val="20"/>
        </w:rPr>
        <w:t>备注：1. 以上项目实行扣分制，扣完为止；2.</w:t>
      </w:r>
      <w:r>
        <w:rPr>
          <w:rFonts w:hint="eastAsia" w:eastAsia="楷体"/>
          <w:sz w:val="20"/>
          <w:szCs w:val="20"/>
          <w:lang w:eastAsia="zh-CN"/>
        </w:rPr>
        <w:t>触发退出机制</w:t>
      </w:r>
      <w:r>
        <w:rPr>
          <w:rFonts w:eastAsia="楷体"/>
          <w:sz w:val="20"/>
          <w:szCs w:val="20"/>
        </w:rPr>
        <w:t>（须</w:t>
      </w:r>
      <w:r>
        <w:rPr>
          <w:rFonts w:hint="eastAsia" w:eastAsia="楷体"/>
          <w:sz w:val="20"/>
          <w:szCs w:val="20"/>
        </w:rPr>
        <w:t>教育</w:t>
      </w:r>
      <w:r>
        <w:rPr>
          <w:rFonts w:eastAsia="楷体"/>
          <w:sz w:val="20"/>
          <w:szCs w:val="20"/>
        </w:rPr>
        <w:t>部门审核）；</w:t>
      </w:r>
    </w:p>
    <w:p>
      <w:pPr>
        <w:overflowPunct/>
        <w:adjustRightInd/>
        <w:snapToGrid/>
        <w:spacing w:line="240" w:lineRule="auto"/>
        <w:ind w:firstLine="0" w:firstLineChars="0"/>
        <w:rPr>
          <w:rFonts w:eastAsia="宋体"/>
          <w:sz w:val="21"/>
        </w:rPr>
      </w:pPr>
    </w:p>
    <w:p>
      <w:pPr>
        <w:overflowPunct/>
        <w:adjustRightInd/>
        <w:snapToGrid/>
        <w:spacing w:line="240" w:lineRule="auto"/>
        <w:ind w:firstLine="0" w:firstLineChars="0"/>
        <w:rPr>
          <w:rFonts w:eastAsia="宋体"/>
          <w:sz w:val="21"/>
        </w:rPr>
      </w:pPr>
      <w:r>
        <w:rPr>
          <w:rFonts w:eastAsia="宋体"/>
          <w:sz w:val="21"/>
        </w:rPr>
        <w:t>学校食材验收组全体人员（签字）</w:t>
      </w:r>
      <w:r>
        <w:rPr>
          <w:rFonts w:hint="eastAsia" w:eastAsia="宋体"/>
          <w:sz w:val="21"/>
        </w:rPr>
        <w:t>：</w:t>
      </w:r>
      <w:r>
        <w:rPr>
          <w:rFonts w:eastAsia="宋体"/>
          <w:sz w:val="21"/>
        </w:rPr>
        <w:t xml:space="preserve">     </w:t>
      </w:r>
      <w:r>
        <w:rPr>
          <w:rFonts w:eastAsia="宋体"/>
          <w:sz w:val="24"/>
        </w:rPr>
        <w:t xml:space="preserve">          </w:t>
      </w:r>
      <w:r>
        <w:rPr>
          <w:rFonts w:eastAsia="宋体"/>
          <w:sz w:val="21"/>
        </w:rPr>
        <w:t>食材供应商负责人或代表（签字）</w:t>
      </w:r>
      <w:r>
        <w:rPr>
          <w:rFonts w:hint="eastAsia" w:eastAsia="宋体"/>
          <w:sz w:val="21"/>
        </w:rPr>
        <w:t>：</w:t>
      </w:r>
    </w:p>
    <w:p>
      <w:pPr>
        <w:overflowPunct/>
        <w:adjustRightInd/>
        <w:snapToGrid/>
        <w:spacing w:line="560" w:lineRule="exact"/>
        <w:ind w:firstLine="640"/>
        <w:rPr>
          <w:bCs/>
          <w:szCs w:val="32"/>
        </w:rPr>
      </w:pPr>
    </w:p>
    <w:p>
      <w:pPr>
        <w:overflowPunct/>
        <w:snapToGrid/>
        <w:spacing w:line="560" w:lineRule="exact"/>
        <w:ind w:firstLine="640"/>
        <w:rPr>
          <w:rFonts w:eastAsia="黑体"/>
          <w:szCs w:val="32"/>
          <w:lang w:val="zh-CN"/>
        </w:rPr>
      </w:pPr>
      <w:r>
        <w:rPr>
          <w:rFonts w:eastAsia="黑体"/>
          <w:szCs w:val="32"/>
        </w:rPr>
        <w:t xml:space="preserve">第五条 </w:t>
      </w:r>
      <w:r>
        <w:rPr>
          <w:rFonts w:hint="eastAsia" w:eastAsia="黑体"/>
          <w:szCs w:val="32"/>
        </w:rPr>
        <w:t xml:space="preserve"> </w:t>
      </w:r>
      <w:r>
        <w:rPr>
          <w:rFonts w:eastAsia="黑体"/>
          <w:szCs w:val="32"/>
          <w:lang w:val="zh-CN"/>
        </w:rPr>
        <w:t>配送要求</w:t>
      </w:r>
    </w:p>
    <w:p>
      <w:pPr>
        <w:overflowPunct/>
        <w:snapToGrid/>
        <w:spacing w:line="560" w:lineRule="exact"/>
        <w:ind w:firstLine="640"/>
        <w:rPr>
          <w:szCs w:val="32"/>
          <w:u w:val="wave"/>
          <w:lang w:val="zh-CN"/>
        </w:rPr>
      </w:pPr>
      <w:r>
        <w:rPr>
          <w:szCs w:val="32"/>
          <w:u w:val="wave"/>
          <w:lang w:val="zh-CN"/>
        </w:rPr>
        <w:t>（</w:t>
      </w:r>
      <w:r>
        <w:rPr>
          <w:szCs w:val="32"/>
          <w:u w:val="wave"/>
        </w:rPr>
        <w:t>一</w:t>
      </w:r>
      <w:r>
        <w:rPr>
          <w:szCs w:val="32"/>
          <w:u w:val="wave"/>
          <w:lang w:val="zh-CN"/>
        </w:rPr>
        <w:t>）乙方应严格遵守《食品安全法》和《动物检疫法》等相关规定，严格保证食品质量符合国家相关产品质量标准，符合国家各级强制性规范的要求。在供货</w:t>
      </w:r>
      <w:r>
        <w:rPr>
          <w:rFonts w:hint="eastAsia"/>
          <w:szCs w:val="32"/>
          <w:u w:val="wave"/>
          <w:lang w:val="zh-CN"/>
        </w:rPr>
        <w:t>期间</w:t>
      </w:r>
      <w:r>
        <w:rPr>
          <w:szCs w:val="32"/>
          <w:u w:val="wave"/>
          <w:lang w:val="zh-CN"/>
        </w:rPr>
        <w:t>如出现因乙方原因，导致食用者出现食物中毒的事故发生，乙方应对此承担一切法律责任。</w:t>
      </w:r>
    </w:p>
    <w:p>
      <w:pPr>
        <w:overflowPunct/>
        <w:snapToGrid/>
        <w:spacing w:line="560" w:lineRule="exact"/>
        <w:ind w:firstLine="640"/>
        <w:rPr>
          <w:szCs w:val="32"/>
          <w:u w:val="wave"/>
          <w:lang w:val="zh-CN"/>
        </w:rPr>
      </w:pPr>
      <w:r>
        <w:rPr>
          <w:szCs w:val="32"/>
          <w:u w:val="wave"/>
          <w:lang w:val="zh-CN"/>
        </w:rPr>
        <w:t>（</w:t>
      </w:r>
      <w:r>
        <w:rPr>
          <w:szCs w:val="32"/>
          <w:u w:val="wave"/>
        </w:rPr>
        <w:t>二</w:t>
      </w:r>
      <w:r>
        <w:rPr>
          <w:szCs w:val="32"/>
          <w:u w:val="wave"/>
          <w:lang w:val="zh-CN"/>
        </w:rPr>
        <w:t xml:space="preserve">）一经发现供应以下食品，甲方将立即取消乙方的供货资格，没收全部履约保证金，启动对投标人的监督机制，并由乙方承担由此造成的经济责任和法律责任。 </w:t>
      </w:r>
    </w:p>
    <w:p>
      <w:pPr>
        <w:overflowPunct/>
        <w:snapToGrid/>
        <w:spacing w:line="560" w:lineRule="exact"/>
        <w:ind w:firstLine="640"/>
        <w:rPr>
          <w:szCs w:val="32"/>
          <w:u w:val="wave"/>
          <w:lang w:val="zh-CN"/>
        </w:rPr>
      </w:pPr>
      <w:r>
        <w:rPr>
          <w:szCs w:val="32"/>
          <w:u w:val="wave"/>
          <w:lang w:val="zh-CN"/>
        </w:rPr>
        <w:t>1.腐败变质、油脂酸败、霉变、生虫、污秽不洁、混有异物或者其他感官性状异常，对人体健康有害的转基因食材；</w:t>
      </w:r>
    </w:p>
    <w:p>
      <w:pPr>
        <w:overflowPunct/>
        <w:snapToGrid/>
        <w:spacing w:line="560" w:lineRule="exact"/>
        <w:ind w:firstLine="640"/>
        <w:rPr>
          <w:szCs w:val="32"/>
          <w:u w:val="wave"/>
          <w:lang w:val="zh-CN"/>
        </w:rPr>
      </w:pPr>
      <w:r>
        <w:rPr>
          <w:szCs w:val="32"/>
          <w:u w:val="wave"/>
          <w:lang w:val="zh-CN"/>
        </w:rPr>
        <w:t xml:space="preserve">2.含有毒、有害物质或者被有害物质污染，对人体健康有害的； </w:t>
      </w:r>
    </w:p>
    <w:p>
      <w:pPr>
        <w:overflowPunct/>
        <w:snapToGrid/>
        <w:spacing w:line="560" w:lineRule="exact"/>
        <w:ind w:firstLine="640"/>
        <w:rPr>
          <w:szCs w:val="32"/>
          <w:u w:val="wave"/>
          <w:lang w:val="zh-CN"/>
        </w:rPr>
      </w:pPr>
      <w:r>
        <w:rPr>
          <w:szCs w:val="32"/>
          <w:u w:val="wave"/>
          <w:lang w:val="zh-CN"/>
        </w:rPr>
        <w:t xml:space="preserve">3.含有致病性寄生虫、微生物或者微生物含量超过国家限定标准的； </w:t>
      </w:r>
    </w:p>
    <w:p>
      <w:pPr>
        <w:overflowPunct/>
        <w:snapToGrid/>
        <w:spacing w:line="560" w:lineRule="exact"/>
        <w:ind w:firstLine="640"/>
        <w:rPr>
          <w:szCs w:val="32"/>
          <w:u w:val="wave"/>
          <w:lang w:val="zh-CN"/>
        </w:rPr>
      </w:pPr>
      <w:r>
        <w:rPr>
          <w:szCs w:val="32"/>
          <w:u w:val="wave"/>
          <w:lang w:val="zh-CN"/>
        </w:rPr>
        <w:t xml:space="preserve">4.未经动物检疫部门检疫、检验或者检疫、检验不合格的肉类及其制品； </w:t>
      </w:r>
    </w:p>
    <w:p>
      <w:pPr>
        <w:overflowPunct/>
        <w:snapToGrid/>
        <w:spacing w:line="560" w:lineRule="exact"/>
        <w:ind w:firstLine="640"/>
        <w:rPr>
          <w:szCs w:val="32"/>
          <w:u w:val="wave"/>
          <w:lang w:val="zh-CN"/>
        </w:rPr>
      </w:pPr>
      <w:r>
        <w:rPr>
          <w:szCs w:val="32"/>
          <w:u w:val="wave"/>
          <w:lang w:val="zh-CN"/>
        </w:rPr>
        <w:t xml:space="preserve">5.病死、毒死或者死因不明的禽制品； </w:t>
      </w:r>
    </w:p>
    <w:p>
      <w:pPr>
        <w:overflowPunct/>
        <w:snapToGrid/>
        <w:spacing w:line="560" w:lineRule="exact"/>
        <w:ind w:firstLine="640"/>
        <w:rPr>
          <w:szCs w:val="32"/>
          <w:u w:val="wave"/>
          <w:lang w:val="zh-CN"/>
        </w:rPr>
      </w:pPr>
      <w:r>
        <w:rPr>
          <w:szCs w:val="32"/>
          <w:u w:val="wave"/>
          <w:lang w:val="zh-CN"/>
        </w:rPr>
        <w:t xml:space="preserve">6.掺假、掺杂、伪造，影响营养、卫生的； </w:t>
      </w:r>
    </w:p>
    <w:p>
      <w:pPr>
        <w:overflowPunct/>
        <w:snapToGrid/>
        <w:spacing w:line="560" w:lineRule="exact"/>
        <w:ind w:firstLine="640"/>
        <w:rPr>
          <w:szCs w:val="32"/>
          <w:u w:val="wave"/>
          <w:lang w:val="zh-CN"/>
        </w:rPr>
      </w:pPr>
      <w:r>
        <w:rPr>
          <w:szCs w:val="32"/>
          <w:u w:val="wave"/>
          <w:lang w:val="zh-CN"/>
        </w:rPr>
        <w:t xml:space="preserve">7.用非食品原料加工的，加入非食品用化学物质或者将非食品当作食品的； </w:t>
      </w:r>
    </w:p>
    <w:p>
      <w:pPr>
        <w:overflowPunct/>
        <w:snapToGrid/>
        <w:spacing w:line="560" w:lineRule="exact"/>
        <w:ind w:firstLine="640"/>
        <w:rPr>
          <w:szCs w:val="32"/>
          <w:u w:val="wave"/>
          <w:lang w:val="zh-CN"/>
        </w:rPr>
      </w:pPr>
      <w:r>
        <w:rPr>
          <w:szCs w:val="32"/>
          <w:u w:val="wave"/>
          <w:lang w:val="zh-CN"/>
        </w:rPr>
        <w:t>8.超过保质期限的。</w:t>
      </w:r>
    </w:p>
    <w:p>
      <w:pPr>
        <w:overflowPunct/>
        <w:snapToGrid/>
        <w:spacing w:line="560" w:lineRule="exact"/>
        <w:ind w:firstLine="640"/>
        <w:rPr>
          <w:rFonts w:eastAsia="黑体"/>
          <w:szCs w:val="32"/>
        </w:rPr>
      </w:pPr>
    </w:p>
    <w:p>
      <w:pPr>
        <w:overflowPunct/>
        <w:snapToGrid/>
        <w:spacing w:line="560" w:lineRule="exact"/>
        <w:ind w:firstLine="640"/>
        <w:rPr>
          <w:rFonts w:eastAsia="黑体"/>
          <w:szCs w:val="32"/>
        </w:rPr>
      </w:pPr>
      <w:r>
        <w:rPr>
          <w:rFonts w:eastAsia="黑体"/>
          <w:szCs w:val="32"/>
        </w:rPr>
        <w:t xml:space="preserve">第六条 </w:t>
      </w:r>
      <w:r>
        <w:rPr>
          <w:rFonts w:hint="eastAsia" w:eastAsia="黑体"/>
          <w:szCs w:val="32"/>
        </w:rPr>
        <w:t xml:space="preserve"> </w:t>
      </w:r>
      <w:r>
        <w:rPr>
          <w:rFonts w:eastAsia="黑体"/>
          <w:szCs w:val="32"/>
        </w:rPr>
        <w:t>卫生要求</w:t>
      </w:r>
    </w:p>
    <w:p>
      <w:pPr>
        <w:overflowPunct/>
        <w:snapToGrid/>
        <w:spacing w:line="560" w:lineRule="exact"/>
        <w:ind w:firstLine="640"/>
        <w:rPr>
          <w:szCs w:val="32"/>
          <w:lang w:val="zh-CN"/>
        </w:rPr>
      </w:pPr>
      <w:r>
        <w:rPr>
          <w:szCs w:val="32"/>
          <w:u w:val="wave"/>
          <w:lang w:val="zh-CN"/>
        </w:rPr>
        <w:t>（一）乙方的食材必须符合《中华人民共和国食品安全法》标准，并根据</w:t>
      </w:r>
      <w:r>
        <w:rPr>
          <w:szCs w:val="32"/>
          <w:u w:val="wave"/>
        </w:rPr>
        <w:t>合同</w:t>
      </w:r>
      <w:r>
        <w:rPr>
          <w:szCs w:val="32"/>
          <w:u w:val="wave"/>
          <w:lang w:val="zh-CN"/>
        </w:rPr>
        <w:t>约定的品种、规格、品牌、数量、质量要求在规定的时间内及时送到。每</w:t>
      </w:r>
      <w:r>
        <w:rPr>
          <w:szCs w:val="32"/>
          <w:u w:val="wave"/>
        </w:rPr>
        <w:t>次送货</w:t>
      </w:r>
      <w:r>
        <w:rPr>
          <w:szCs w:val="32"/>
          <w:u w:val="wave"/>
          <w:lang w:val="zh-CN"/>
        </w:rPr>
        <w:t>提供打印的配送清单，如发现食材卫生质量问题或者以次充好，可立即无条件退货或换货，如换货不及时直接影响供餐的，由甲方向</w:t>
      </w:r>
      <w:r>
        <w:rPr>
          <w:rFonts w:hint="eastAsia"/>
          <w:szCs w:val="32"/>
          <w:u w:val="wave"/>
        </w:rPr>
        <w:t>所属教育行政部门</w:t>
      </w:r>
      <w:r>
        <w:rPr>
          <w:szCs w:val="32"/>
          <w:u w:val="wave"/>
          <w:lang w:val="zh-CN"/>
        </w:rPr>
        <w:t>提出申请，</w:t>
      </w:r>
      <w:r>
        <w:rPr>
          <w:szCs w:val="32"/>
          <w:lang w:val="zh-CN"/>
        </w:rPr>
        <w:t>按本次配送货物金额的3倍扣除履约保证金。</w:t>
      </w:r>
    </w:p>
    <w:p>
      <w:pPr>
        <w:overflowPunct/>
        <w:snapToGrid/>
        <w:spacing w:line="560" w:lineRule="exact"/>
        <w:ind w:firstLine="640"/>
        <w:rPr>
          <w:szCs w:val="32"/>
          <w:u w:val="wave"/>
          <w:lang w:val="zh-CN"/>
        </w:rPr>
      </w:pPr>
      <w:r>
        <w:rPr>
          <w:szCs w:val="32"/>
          <w:u w:val="wave"/>
          <w:lang w:val="zh-CN"/>
        </w:rPr>
        <w:t>（二）乙方严禁提供以下食品：</w:t>
      </w:r>
    </w:p>
    <w:p>
      <w:pPr>
        <w:overflowPunct/>
        <w:snapToGrid/>
        <w:spacing w:line="560" w:lineRule="exact"/>
        <w:ind w:firstLine="640"/>
        <w:rPr>
          <w:szCs w:val="32"/>
          <w:u w:val="wave"/>
          <w:lang w:val="zh-CN"/>
        </w:rPr>
      </w:pPr>
      <w:r>
        <w:rPr>
          <w:szCs w:val="32"/>
          <w:u w:val="wave"/>
          <w:lang w:val="zh-CN"/>
        </w:rPr>
        <w:t>1.无品名、产地、厂名、生产日期、保质期及中文标识及原料说明的包装食品（除蔬菜、面点、早点等散装食品）；</w:t>
      </w:r>
    </w:p>
    <w:p>
      <w:pPr>
        <w:overflowPunct/>
        <w:snapToGrid/>
        <w:spacing w:line="560" w:lineRule="exact"/>
        <w:ind w:firstLine="640"/>
        <w:rPr>
          <w:szCs w:val="32"/>
          <w:u w:val="wave"/>
          <w:lang w:val="zh-CN"/>
        </w:rPr>
      </w:pPr>
      <w:r>
        <w:rPr>
          <w:szCs w:val="32"/>
          <w:u w:val="wave"/>
          <w:lang w:val="zh-CN"/>
        </w:rPr>
        <w:t>2.超过保质期限或不符合食品标签规定的包装食品；</w:t>
      </w:r>
    </w:p>
    <w:p>
      <w:pPr>
        <w:overflowPunct/>
        <w:snapToGrid/>
        <w:spacing w:line="560" w:lineRule="exact"/>
        <w:ind w:firstLine="640"/>
        <w:rPr>
          <w:szCs w:val="32"/>
          <w:u w:val="wave"/>
          <w:lang w:val="zh-CN"/>
        </w:rPr>
      </w:pPr>
      <w:r>
        <w:rPr>
          <w:szCs w:val="32"/>
          <w:u w:val="wave"/>
          <w:lang w:val="zh-CN"/>
        </w:rPr>
        <w:t>3.腐败变质、油脂酸败、霉变、生虫、污秽不洁、混有异物或者其他感官性状异常，含有毒、有害物质或者被有毒、有害物质污染，可能对人体健康有害的食品；</w:t>
      </w:r>
    </w:p>
    <w:p>
      <w:pPr>
        <w:overflowPunct/>
        <w:snapToGrid/>
        <w:spacing w:line="560" w:lineRule="exact"/>
        <w:ind w:firstLine="640"/>
        <w:rPr>
          <w:szCs w:val="32"/>
          <w:u w:val="wave"/>
          <w:lang w:val="zh-CN"/>
        </w:rPr>
      </w:pPr>
      <w:r>
        <w:rPr>
          <w:szCs w:val="32"/>
          <w:u w:val="wave"/>
          <w:lang w:val="zh-CN"/>
        </w:rPr>
        <w:t>4.病死、死因不明或从疫区招标的水产品、畜、禽及其制品，不合格调味品，工业用盐，非食品原料和滥用食品添加剂等；</w:t>
      </w:r>
    </w:p>
    <w:p>
      <w:pPr>
        <w:overflowPunct/>
        <w:snapToGrid/>
        <w:spacing w:line="560" w:lineRule="exact"/>
        <w:ind w:firstLine="640"/>
        <w:rPr>
          <w:szCs w:val="32"/>
          <w:u w:val="wave"/>
          <w:lang w:val="zh-CN"/>
        </w:rPr>
      </w:pPr>
      <w:r>
        <w:rPr>
          <w:szCs w:val="32"/>
          <w:u w:val="wave"/>
          <w:lang w:val="zh-CN"/>
        </w:rPr>
        <w:t>5.其他不符合食品卫生标准和要求的食品。如因乙方所供应食品的质量问题引起师生食物中毒等食源性疾病的发生或其他事故，由乙方负全部责任，并承担由此而引起的全部经济损失及相关法律责任。情节较为严重的，甲方有权立即终止供货协议，并按相关法律处理，所有法律及经济责任由己方承担。</w:t>
      </w:r>
    </w:p>
    <w:p>
      <w:pPr>
        <w:overflowPunct/>
        <w:snapToGrid/>
        <w:spacing w:line="560" w:lineRule="exact"/>
        <w:ind w:firstLine="640"/>
        <w:rPr>
          <w:rFonts w:eastAsia="黑体"/>
          <w:szCs w:val="32"/>
        </w:rPr>
      </w:pPr>
    </w:p>
    <w:p>
      <w:pPr>
        <w:overflowPunct/>
        <w:snapToGrid/>
        <w:spacing w:line="560" w:lineRule="exact"/>
        <w:ind w:firstLine="640"/>
        <w:rPr>
          <w:rFonts w:eastAsia="黑体"/>
          <w:szCs w:val="32"/>
          <w:lang w:val="zh-CN"/>
        </w:rPr>
      </w:pPr>
      <w:r>
        <w:rPr>
          <w:rFonts w:eastAsia="黑体"/>
          <w:szCs w:val="32"/>
        </w:rPr>
        <w:t>第七条</w:t>
      </w:r>
      <w:r>
        <w:rPr>
          <w:rFonts w:hint="eastAsia" w:eastAsia="黑体"/>
          <w:szCs w:val="32"/>
        </w:rPr>
        <w:t xml:space="preserve">  </w:t>
      </w:r>
      <w:r>
        <w:rPr>
          <w:rFonts w:eastAsia="黑体"/>
          <w:szCs w:val="32"/>
          <w:lang w:val="zh-CN"/>
        </w:rPr>
        <w:t>违约责任</w:t>
      </w:r>
    </w:p>
    <w:p>
      <w:pPr>
        <w:overflowPunct/>
        <w:snapToGrid/>
        <w:spacing w:line="560" w:lineRule="exact"/>
        <w:ind w:firstLine="640"/>
        <w:rPr>
          <w:szCs w:val="32"/>
          <w:u w:val="wave"/>
          <w:lang w:val="zh-CN"/>
        </w:rPr>
      </w:pPr>
      <w:r>
        <w:rPr>
          <w:szCs w:val="32"/>
          <w:u w:val="wave"/>
          <w:lang w:val="zh-CN"/>
        </w:rPr>
        <w:t>（一）因乙方配送不及时导致甲方食材供应延误的，合同立即终止，并扣除全部履约保证金。如能证明系因甲方原因造成的食材供应延误的除外。</w:t>
      </w:r>
    </w:p>
    <w:p>
      <w:pPr>
        <w:overflowPunct/>
        <w:snapToGrid/>
        <w:spacing w:line="560" w:lineRule="exact"/>
        <w:ind w:firstLine="640"/>
        <w:rPr>
          <w:szCs w:val="32"/>
          <w:u w:val="wave"/>
          <w:lang w:val="zh-CN"/>
        </w:rPr>
      </w:pPr>
      <w:r>
        <w:rPr>
          <w:szCs w:val="32"/>
          <w:u w:val="wave"/>
          <w:lang w:val="zh-CN"/>
        </w:rPr>
        <w:t>（二）因乙方配送不及时导致甲方食材供应延时且经乙方采取补救措施未造成校方不良影响的，或乙方配送没有从实际固定经营场所出发的，或乙方配送没有使用符合监控、定位及运输要求的已验核车辆的，由甲方向区教育局申请，</w:t>
      </w:r>
      <w:r>
        <w:rPr>
          <w:szCs w:val="32"/>
          <w:lang w:val="zh-CN"/>
        </w:rPr>
        <w:t>第一次扣除履约保证金</w:t>
      </w:r>
      <w:r>
        <w:rPr>
          <w:rFonts w:hint="eastAsia"/>
          <w:szCs w:val="32"/>
        </w:rPr>
        <w:t>XXX</w:t>
      </w:r>
      <w:r>
        <w:rPr>
          <w:szCs w:val="32"/>
          <w:lang w:val="zh-CN"/>
        </w:rPr>
        <w:t>元，第二次扣除履约保证金</w:t>
      </w:r>
      <w:r>
        <w:rPr>
          <w:rFonts w:hint="eastAsia"/>
          <w:szCs w:val="32"/>
        </w:rPr>
        <w:t>XXX</w:t>
      </w:r>
      <w:r>
        <w:rPr>
          <w:szCs w:val="32"/>
          <w:lang w:val="zh-CN"/>
        </w:rPr>
        <w:t>元，第三次扣除履约保证金</w:t>
      </w:r>
      <w:r>
        <w:rPr>
          <w:rFonts w:hint="eastAsia"/>
          <w:szCs w:val="32"/>
        </w:rPr>
        <w:t>XXX</w:t>
      </w:r>
      <w:r>
        <w:rPr>
          <w:szCs w:val="32"/>
          <w:lang w:val="zh-CN"/>
        </w:rPr>
        <w:t>元，</w:t>
      </w:r>
      <w:r>
        <w:rPr>
          <w:rFonts w:hint="eastAsia"/>
          <w:szCs w:val="32"/>
        </w:rPr>
        <w:t>之</w:t>
      </w:r>
      <w:r>
        <w:rPr>
          <w:szCs w:val="32"/>
          <w:lang w:val="zh-CN"/>
        </w:rPr>
        <w:t>后所扣除的金额均为前一次的两倍（指在同一学校发生的）；如果在一学年采购期内履约保证金被扣后低于该标段履约保证金总额的40%时则取消合同。</w:t>
      </w:r>
      <w:r>
        <w:rPr>
          <w:szCs w:val="32"/>
          <w:u w:val="wave"/>
          <w:lang w:val="zh-CN"/>
        </w:rPr>
        <w:t>本款中的配送不及时，包括未参与</w:t>
      </w:r>
      <w:r>
        <w:rPr>
          <w:rFonts w:hint="eastAsia"/>
          <w:szCs w:val="32"/>
          <w:u w:val="wave"/>
          <w:lang w:val="zh-CN"/>
        </w:rPr>
        <w:t>实际竞价</w:t>
      </w:r>
      <w:r>
        <w:rPr>
          <w:szCs w:val="32"/>
          <w:u w:val="wave"/>
          <w:lang w:val="zh-CN"/>
        </w:rPr>
        <w:t>或无效报价。</w:t>
      </w:r>
    </w:p>
    <w:p>
      <w:pPr>
        <w:overflowPunct/>
        <w:snapToGrid/>
        <w:spacing w:line="560" w:lineRule="exact"/>
        <w:ind w:firstLine="640"/>
        <w:rPr>
          <w:szCs w:val="32"/>
          <w:u w:val="wave"/>
          <w:lang w:val="zh-CN"/>
        </w:rPr>
      </w:pPr>
      <w:r>
        <w:rPr>
          <w:szCs w:val="32"/>
          <w:lang w:val="zh-CN"/>
        </w:rPr>
        <w:t>（三）甲方临时增加用餐人员，需临时补充原料的，乙方应在约定时间内无条件把指定的原料送至指定的地点。</w:t>
      </w:r>
      <w:r>
        <w:rPr>
          <w:szCs w:val="32"/>
          <w:u w:val="wave"/>
          <w:lang w:val="zh-CN"/>
        </w:rPr>
        <w:t>需临时补充原料超过《供货合同》约定的食材品类、数量40%的，则除外，由双方协商处理临时补充原料事项。</w:t>
      </w:r>
    </w:p>
    <w:p>
      <w:pPr>
        <w:overflowPunct/>
        <w:snapToGrid/>
        <w:spacing w:line="560" w:lineRule="exact"/>
        <w:ind w:firstLine="640"/>
        <w:rPr>
          <w:szCs w:val="32"/>
          <w:lang w:val="zh-CN"/>
        </w:rPr>
      </w:pPr>
      <w:r>
        <w:rPr>
          <w:szCs w:val="32"/>
          <w:lang w:val="zh-CN"/>
        </w:rPr>
        <w:t>（四）凡经相关部门认定，如因乙方所提供的原料原因造成食物中毒等卫生事故的，乙方除必须承担全部的法律责任外，还要全额承担因发生食物中毒等卫生事故所造成后果的一切费用。同时，甲方立即停止乙方的供货，终止供货合同，扣除全部履约保证金。</w:t>
      </w:r>
    </w:p>
    <w:p>
      <w:pPr>
        <w:overflowPunct/>
        <w:snapToGrid/>
        <w:spacing w:line="560" w:lineRule="exact"/>
        <w:ind w:firstLine="640"/>
        <w:rPr>
          <w:szCs w:val="32"/>
          <w:lang w:val="zh-CN"/>
        </w:rPr>
      </w:pPr>
      <w:r>
        <w:rPr>
          <w:szCs w:val="32"/>
          <w:lang w:val="zh-CN"/>
        </w:rPr>
        <w:t>（五）</w:t>
      </w:r>
      <w:r>
        <w:rPr>
          <w:rFonts w:hint="eastAsia"/>
          <w:szCs w:val="32"/>
          <w:lang w:val="zh-CN"/>
        </w:rPr>
        <w:t>凡乙方向学校提供的食材产品有降低品质以次充好等相关问题</w:t>
      </w:r>
      <w:r>
        <w:rPr>
          <w:szCs w:val="32"/>
          <w:lang w:val="zh-CN"/>
        </w:rPr>
        <w:t>，虽未造成食品事故但造成了一定影响，经核实确认，第一次扣除履约保证金</w:t>
      </w:r>
      <w:r>
        <w:rPr>
          <w:rFonts w:hint="eastAsia"/>
          <w:szCs w:val="32"/>
        </w:rPr>
        <w:t>XXX</w:t>
      </w:r>
      <w:r>
        <w:rPr>
          <w:szCs w:val="32"/>
          <w:lang w:val="zh-CN"/>
        </w:rPr>
        <w:t>元，第二次扣除履约保证金</w:t>
      </w:r>
      <w:r>
        <w:rPr>
          <w:rFonts w:hint="eastAsia"/>
          <w:szCs w:val="32"/>
        </w:rPr>
        <w:t>XXXX</w:t>
      </w:r>
      <w:r>
        <w:rPr>
          <w:szCs w:val="32"/>
          <w:lang w:val="zh-CN"/>
        </w:rPr>
        <w:t>元，第三次扣除履约保证金</w:t>
      </w:r>
      <w:r>
        <w:rPr>
          <w:rFonts w:hint="eastAsia"/>
          <w:szCs w:val="32"/>
        </w:rPr>
        <w:t>XXXX</w:t>
      </w:r>
      <w:r>
        <w:rPr>
          <w:szCs w:val="32"/>
          <w:lang w:val="zh-CN"/>
        </w:rPr>
        <w:t>元，以后扣除金额均为前一次的两倍（指在同一学校发生的）；如果在一学年采购周期内履约保证金被扣后低于该标段履约保证金总额的40%时则取消合同。</w:t>
      </w:r>
    </w:p>
    <w:p>
      <w:pPr>
        <w:overflowPunct/>
        <w:snapToGrid/>
        <w:spacing w:line="560" w:lineRule="exact"/>
        <w:ind w:firstLine="640"/>
        <w:rPr>
          <w:szCs w:val="32"/>
          <w:u w:val="wave"/>
          <w:lang w:val="zh-CN"/>
        </w:rPr>
      </w:pPr>
      <w:r>
        <w:rPr>
          <w:szCs w:val="32"/>
          <w:u w:val="wave"/>
          <w:lang w:val="zh-CN"/>
        </w:rPr>
        <w:t>（六）食材配送期间，乙方不得中途转包、分包及</w:t>
      </w:r>
      <w:r>
        <w:rPr>
          <w:rFonts w:hint="eastAsia"/>
          <w:szCs w:val="32"/>
          <w:u w:val="wave"/>
          <w:lang w:val="zh-CN"/>
        </w:rPr>
        <w:t>单方面突然终止合同</w:t>
      </w:r>
      <w:r>
        <w:rPr>
          <w:szCs w:val="32"/>
          <w:u w:val="wave"/>
          <w:lang w:val="zh-CN"/>
        </w:rPr>
        <w:t>，否则甲方有权没收全部保证金。</w:t>
      </w:r>
    </w:p>
    <w:p>
      <w:pPr>
        <w:overflowPunct/>
        <w:snapToGrid/>
        <w:spacing w:line="560" w:lineRule="exact"/>
        <w:ind w:firstLine="640"/>
        <w:rPr>
          <w:szCs w:val="32"/>
          <w:u w:val="wave"/>
          <w:lang w:val="zh-CN"/>
        </w:rPr>
      </w:pPr>
      <w:r>
        <w:rPr>
          <w:szCs w:val="32"/>
          <w:u w:val="wave"/>
          <w:lang w:val="zh-CN"/>
        </w:rPr>
        <w:t>（七）凡供应货物故意串规、定量包装批量误差超过相关规定误差之短缺，一经查实，均需按当月总</w:t>
      </w:r>
      <w:r>
        <w:rPr>
          <w:rFonts w:hint="eastAsia"/>
          <w:szCs w:val="32"/>
          <w:u w:val="wave"/>
          <w:lang w:val="zh-CN"/>
        </w:rPr>
        <w:t>采</w:t>
      </w:r>
      <w:r>
        <w:rPr>
          <w:szCs w:val="32"/>
          <w:u w:val="wave"/>
          <w:lang w:val="zh-CN"/>
        </w:rPr>
        <w:t>购量的3倍误差值作为乙方向甲方支付的违约金，由甲方</w:t>
      </w:r>
      <w:r>
        <w:rPr>
          <w:rFonts w:hint="eastAsia"/>
          <w:szCs w:val="32"/>
          <w:u w:val="wave"/>
        </w:rPr>
        <w:t>所属教育行政部门</w:t>
      </w:r>
      <w:r>
        <w:rPr>
          <w:szCs w:val="32"/>
          <w:u w:val="wave"/>
          <w:lang w:val="zh-CN"/>
        </w:rPr>
        <w:t>提出申请，在履约保证金中扣除。</w:t>
      </w:r>
    </w:p>
    <w:p>
      <w:pPr>
        <w:overflowPunct/>
        <w:snapToGrid/>
        <w:spacing w:line="560" w:lineRule="exact"/>
        <w:ind w:firstLine="640"/>
        <w:rPr>
          <w:szCs w:val="32"/>
          <w:u w:val="wave"/>
          <w:lang w:val="zh-CN"/>
        </w:rPr>
      </w:pPr>
      <w:r>
        <w:rPr>
          <w:szCs w:val="32"/>
          <w:u w:val="wave"/>
          <w:lang w:val="zh-CN"/>
        </w:rPr>
        <w:t>（八）乙方有下列情形之一的立即中止送货，并取消供应资格</w:t>
      </w:r>
      <w:r>
        <w:rPr>
          <w:rFonts w:hint="eastAsia"/>
          <w:szCs w:val="32"/>
          <w:u w:val="wave"/>
          <w:lang w:val="zh-CN"/>
        </w:rPr>
        <w:t>，并</w:t>
      </w:r>
      <w:r>
        <w:rPr>
          <w:szCs w:val="32"/>
          <w:u w:val="wave"/>
          <w:lang w:val="zh-CN"/>
        </w:rPr>
        <w:t>追究其经济和法律责任，并扣减投标人服务分值：</w:t>
      </w:r>
    </w:p>
    <w:p>
      <w:pPr>
        <w:overflowPunct/>
        <w:snapToGrid/>
        <w:spacing w:line="560" w:lineRule="exact"/>
        <w:ind w:firstLine="640"/>
        <w:rPr>
          <w:szCs w:val="32"/>
          <w:u w:val="wave"/>
          <w:lang w:val="zh-CN"/>
        </w:rPr>
      </w:pPr>
      <w:r>
        <w:rPr>
          <w:szCs w:val="32"/>
          <w:u w:val="wave"/>
          <w:lang w:val="zh-CN"/>
        </w:rPr>
        <w:t>1.因配送的食品质量问题引发重大食品安全事故的；</w:t>
      </w:r>
    </w:p>
    <w:p>
      <w:pPr>
        <w:overflowPunct/>
        <w:snapToGrid/>
        <w:spacing w:line="560" w:lineRule="exact"/>
        <w:ind w:firstLine="640"/>
        <w:rPr>
          <w:szCs w:val="32"/>
          <w:u w:val="wave"/>
          <w:lang w:val="zh-CN"/>
        </w:rPr>
      </w:pPr>
      <w:r>
        <w:rPr>
          <w:szCs w:val="32"/>
          <w:u w:val="wave"/>
          <w:lang w:val="zh-CN"/>
        </w:rPr>
        <w:t>2.配送食品质量差，甲方客户多次投诉的；</w:t>
      </w:r>
    </w:p>
    <w:p>
      <w:pPr>
        <w:overflowPunct/>
        <w:snapToGrid/>
        <w:spacing w:line="560" w:lineRule="exact"/>
        <w:ind w:firstLine="640"/>
        <w:rPr>
          <w:szCs w:val="32"/>
          <w:u w:val="wave"/>
          <w:lang w:val="zh-CN"/>
        </w:rPr>
      </w:pPr>
      <w:r>
        <w:rPr>
          <w:szCs w:val="32"/>
          <w:u w:val="wave"/>
          <w:lang w:val="zh-CN"/>
        </w:rPr>
        <w:t>3.被政府监管部门查到有销售假冒伪劣产品的；</w:t>
      </w:r>
    </w:p>
    <w:p>
      <w:pPr>
        <w:overflowPunct/>
        <w:snapToGrid/>
        <w:spacing w:line="560" w:lineRule="exact"/>
        <w:ind w:firstLine="640"/>
        <w:rPr>
          <w:szCs w:val="32"/>
          <w:u w:val="wave"/>
          <w:lang w:val="zh-CN"/>
        </w:rPr>
      </w:pPr>
      <w:r>
        <w:rPr>
          <w:szCs w:val="32"/>
          <w:u w:val="wave"/>
          <w:lang w:val="zh-CN"/>
        </w:rPr>
        <w:t>4.因存在不廉洁行为和安全隐患等造成不良社会影响的；</w:t>
      </w:r>
    </w:p>
    <w:p>
      <w:pPr>
        <w:overflowPunct/>
        <w:snapToGrid/>
        <w:spacing w:line="560" w:lineRule="exact"/>
        <w:ind w:firstLine="640"/>
        <w:rPr>
          <w:szCs w:val="32"/>
          <w:u w:val="wave"/>
          <w:lang w:val="zh-CN"/>
        </w:rPr>
      </w:pPr>
      <w:r>
        <w:rPr>
          <w:szCs w:val="32"/>
          <w:u w:val="wave"/>
          <w:lang w:val="zh-CN"/>
        </w:rPr>
        <w:t>5.分包或转包给他人或其他单位的；</w:t>
      </w:r>
    </w:p>
    <w:p>
      <w:pPr>
        <w:overflowPunct/>
        <w:snapToGrid/>
        <w:spacing w:line="560" w:lineRule="exact"/>
        <w:ind w:firstLine="640"/>
        <w:rPr>
          <w:szCs w:val="32"/>
          <w:u w:val="wave"/>
          <w:lang w:val="zh-CN"/>
        </w:rPr>
      </w:pPr>
      <w:r>
        <w:rPr>
          <w:szCs w:val="32"/>
          <w:u w:val="wave"/>
          <w:lang w:val="zh-CN"/>
        </w:rPr>
        <w:t>6.在配送工作中弄虚作假，提供伪造检测资料和索证资料的；</w:t>
      </w:r>
    </w:p>
    <w:p>
      <w:pPr>
        <w:overflowPunct/>
        <w:snapToGrid/>
        <w:spacing w:line="560" w:lineRule="exact"/>
        <w:ind w:firstLine="640"/>
        <w:rPr>
          <w:szCs w:val="32"/>
          <w:u w:val="wave"/>
          <w:lang w:val="zh-CN"/>
        </w:rPr>
      </w:pPr>
      <w:r>
        <w:rPr>
          <w:szCs w:val="32"/>
          <w:u w:val="wave"/>
          <w:lang w:val="zh-CN"/>
        </w:rPr>
        <w:t>7.有严重违反招标文件规定和资格文件中的服务承诺情况的。</w:t>
      </w:r>
    </w:p>
    <w:p>
      <w:pPr>
        <w:tabs>
          <w:tab w:val="left" w:pos="1719"/>
        </w:tabs>
        <w:kinsoku w:val="0"/>
        <w:spacing w:line="560" w:lineRule="exact"/>
        <w:ind w:firstLine="640"/>
        <w:jc w:val="left"/>
        <w:rPr>
          <w:rFonts w:eastAsia="黑体"/>
          <w:kern w:val="0"/>
          <w:szCs w:val="32"/>
        </w:rPr>
      </w:pPr>
    </w:p>
    <w:p>
      <w:pPr>
        <w:tabs>
          <w:tab w:val="left" w:pos="1719"/>
        </w:tabs>
        <w:kinsoku w:val="0"/>
        <w:spacing w:line="560" w:lineRule="exact"/>
        <w:ind w:firstLine="640"/>
        <w:jc w:val="left"/>
        <w:rPr>
          <w:rFonts w:eastAsia="黑体"/>
          <w:szCs w:val="32"/>
        </w:rPr>
      </w:pPr>
      <w:r>
        <w:rPr>
          <w:rFonts w:eastAsia="黑体"/>
          <w:kern w:val="0"/>
          <w:szCs w:val="32"/>
        </w:rPr>
        <w:t>第八条  费用结算</w:t>
      </w:r>
    </w:p>
    <w:p>
      <w:pPr>
        <w:spacing w:line="560" w:lineRule="exact"/>
        <w:ind w:firstLine="640"/>
        <w:jc w:val="left"/>
        <w:rPr>
          <w:szCs w:val="32"/>
        </w:rPr>
      </w:pPr>
      <w:r>
        <w:rPr>
          <w:szCs w:val="32"/>
        </w:rPr>
        <w:t>按单品食材中标价格并根据实际入库食材总量进行计算得出总价，结算方式按各地财务制度规定执行。</w:t>
      </w:r>
    </w:p>
    <w:p>
      <w:pPr>
        <w:spacing w:line="560" w:lineRule="exact"/>
        <w:ind w:firstLine="640"/>
        <w:jc w:val="left"/>
        <w:rPr>
          <w:szCs w:val="32"/>
        </w:rPr>
      </w:pPr>
    </w:p>
    <w:p>
      <w:pPr>
        <w:spacing w:line="560" w:lineRule="exact"/>
        <w:ind w:firstLine="640"/>
        <w:jc w:val="left"/>
        <w:rPr>
          <w:rFonts w:eastAsia="黑体"/>
          <w:kern w:val="0"/>
          <w:szCs w:val="32"/>
        </w:rPr>
      </w:pPr>
      <w:r>
        <w:rPr>
          <w:rFonts w:hint="eastAsia" w:eastAsia="黑体"/>
          <w:kern w:val="0"/>
          <w:szCs w:val="32"/>
        </w:rPr>
        <w:t xml:space="preserve">第九条  </w:t>
      </w:r>
      <w:r>
        <w:rPr>
          <w:rFonts w:eastAsia="黑体"/>
          <w:kern w:val="0"/>
          <w:szCs w:val="32"/>
        </w:rPr>
        <w:t>履约保证金</w:t>
      </w:r>
    </w:p>
    <w:p>
      <w:pPr>
        <w:spacing w:line="560" w:lineRule="exact"/>
        <w:ind w:firstLine="640"/>
        <w:jc w:val="left"/>
        <w:rPr>
          <w:szCs w:val="32"/>
        </w:rPr>
      </w:pPr>
      <w:r>
        <w:rPr>
          <w:szCs w:val="32"/>
        </w:rPr>
        <w:t xml:space="preserve">1.供货服务期限满后，经甲方验收合格无质量、进度等问题的，甲方在验收合格后XX天内退还乙方未被扣除的履约保证金。 </w:t>
      </w:r>
    </w:p>
    <w:p>
      <w:pPr>
        <w:numPr>
          <w:ilvl w:val="255"/>
          <w:numId w:val="0"/>
        </w:numPr>
        <w:spacing w:line="560" w:lineRule="exact"/>
        <w:ind w:firstLine="640" w:firstLineChars="200"/>
        <w:jc w:val="left"/>
        <w:rPr>
          <w:szCs w:val="32"/>
        </w:rPr>
      </w:pPr>
      <w:r>
        <w:rPr>
          <w:szCs w:val="32"/>
        </w:rPr>
        <w:t xml:space="preserve">2.发生以下情况的，履约保证金不予退还或部分退还： </w:t>
      </w:r>
    </w:p>
    <w:p>
      <w:pPr>
        <w:spacing w:line="560" w:lineRule="exact"/>
        <w:ind w:firstLine="640"/>
        <w:jc w:val="left"/>
        <w:rPr>
          <w:szCs w:val="32"/>
        </w:rPr>
      </w:pPr>
      <w:r>
        <w:rPr>
          <w:szCs w:val="32"/>
        </w:rPr>
        <w:t xml:space="preserve">（1）签订合同后，乙方不履行义务的，甲方有权全额扣除履约保证金，全额不予退还，同时乙方亦有权终止合同，乙方还须承担相应的法律赔偿责任。 </w:t>
      </w:r>
    </w:p>
    <w:p>
      <w:pPr>
        <w:spacing w:line="560" w:lineRule="exact"/>
        <w:ind w:firstLine="640"/>
        <w:jc w:val="left"/>
        <w:rPr>
          <w:szCs w:val="32"/>
        </w:rPr>
      </w:pPr>
      <w:r>
        <w:rPr>
          <w:szCs w:val="32"/>
        </w:rPr>
        <w:t>（2）乙方在履约过程中发生违约行为，给甲方造成损失的，甲方有权依据合同中的约定在履约保证金中予以扣款，以弥补甲方经济损失，不足部分由乙方补齐。</w:t>
      </w:r>
    </w:p>
    <w:p>
      <w:pPr>
        <w:spacing w:line="560" w:lineRule="exact"/>
        <w:ind w:firstLine="640"/>
        <w:jc w:val="left"/>
        <w:rPr>
          <w:szCs w:val="32"/>
        </w:rPr>
      </w:pPr>
    </w:p>
    <w:p>
      <w:pPr>
        <w:tabs>
          <w:tab w:val="left" w:pos="1719"/>
        </w:tabs>
        <w:kinsoku w:val="0"/>
        <w:spacing w:line="560" w:lineRule="exact"/>
        <w:ind w:firstLine="640"/>
        <w:jc w:val="left"/>
        <w:rPr>
          <w:rFonts w:eastAsia="黑体"/>
          <w:kern w:val="0"/>
          <w:szCs w:val="32"/>
        </w:rPr>
      </w:pPr>
      <w:r>
        <w:rPr>
          <w:rFonts w:eastAsia="黑体"/>
          <w:kern w:val="0"/>
          <w:szCs w:val="32"/>
        </w:rPr>
        <w:t>第十条  其他事项</w:t>
      </w:r>
    </w:p>
    <w:p>
      <w:pPr>
        <w:overflowPunct/>
        <w:snapToGrid/>
        <w:spacing w:line="560" w:lineRule="exact"/>
        <w:ind w:firstLine="640"/>
        <w:rPr>
          <w:iCs/>
          <w:szCs w:val="32"/>
        </w:rPr>
      </w:pPr>
      <w:r>
        <w:rPr>
          <w:iCs/>
          <w:szCs w:val="32"/>
        </w:rPr>
        <w:t>1. 在甲方验收前，乙方食材如发生损坏、被盗等，乙方自行负责补救措施。</w:t>
      </w:r>
    </w:p>
    <w:p>
      <w:pPr>
        <w:overflowPunct/>
        <w:snapToGrid/>
        <w:spacing w:line="560" w:lineRule="exact"/>
        <w:ind w:firstLine="640"/>
        <w:rPr>
          <w:iCs/>
          <w:szCs w:val="32"/>
        </w:rPr>
      </w:pPr>
      <w:r>
        <w:rPr>
          <w:iCs/>
          <w:szCs w:val="32"/>
        </w:rPr>
        <w:t>2</w:t>
      </w:r>
      <w:r>
        <w:rPr>
          <w:iCs/>
          <w:szCs w:val="32"/>
          <w:lang w:val="zh-CN"/>
        </w:rPr>
        <w:t xml:space="preserve">. </w:t>
      </w:r>
      <w:r>
        <w:rPr>
          <w:iCs/>
          <w:szCs w:val="32"/>
        </w:rPr>
        <w:t>……（各地自定）</w:t>
      </w:r>
    </w:p>
    <w:p>
      <w:pPr>
        <w:overflowPunct/>
        <w:autoSpaceDE w:val="0"/>
        <w:autoSpaceDN w:val="0"/>
        <w:spacing w:line="560" w:lineRule="exact"/>
        <w:ind w:firstLine="640"/>
        <w:jc w:val="left"/>
        <w:rPr>
          <w:iCs/>
          <w:szCs w:val="32"/>
        </w:rPr>
      </w:pPr>
      <w:r>
        <w:rPr>
          <w:rFonts w:eastAsia="黑体"/>
          <w:kern w:val="0"/>
          <w:szCs w:val="32"/>
        </w:rPr>
        <w:t>第十一条</w:t>
      </w:r>
      <w:r>
        <w:rPr>
          <w:rFonts w:eastAsia="黑体"/>
          <w:b/>
          <w:bCs/>
          <w:kern w:val="0"/>
          <w:szCs w:val="32"/>
        </w:rPr>
        <w:t xml:space="preserve"> </w:t>
      </w:r>
      <w:r>
        <w:rPr>
          <w:kern w:val="0"/>
          <w:szCs w:val="32"/>
        </w:rPr>
        <w:t xml:space="preserve"> </w:t>
      </w:r>
      <w:r>
        <w:rPr>
          <w:iCs/>
          <w:szCs w:val="32"/>
        </w:rPr>
        <w:t>本合同一式__份，甲乙双方各持壹份，双方签字盖章后生效。</w:t>
      </w:r>
    </w:p>
    <w:p>
      <w:pPr>
        <w:overflowPunct/>
        <w:adjustRightInd/>
        <w:spacing w:line="560" w:lineRule="exact"/>
        <w:ind w:firstLine="640"/>
        <w:rPr>
          <w:szCs w:val="32"/>
        </w:rPr>
      </w:pPr>
      <w:r>
        <w:rPr>
          <w:szCs w:val="32"/>
        </w:rPr>
        <w:t>甲方单位：（公章）             乙方单位：（公章）</w:t>
      </w:r>
    </w:p>
    <w:p>
      <w:pPr>
        <w:overflowPunct/>
        <w:adjustRightInd/>
        <w:spacing w:line="560" w:lineRule="exact"/>
        <w:ind w:firstLine="640"/>
        <w:rPr>
          <w:szCs w:val="32"/>
        </w:rPr>
      </w:pPr>
      <w:r>
        <w:rPr>
          <w:szCs w:val="32"/>
        </w:rPr>
        <w:t>法定代表人：                   法定代表人：</w:t>
      </w:r>
    </w:p>
    <w:p>
      <w:pPr>
        <w:overflowPunct/>
        <w:adjustRightInd/>
        <w:spacing w:line="560" w:lineRule="exact"/>
        <w:ind w:firstLine="640"/>
        <w:rPr>
          <w:szCs w:val="32"/>
        </w:rPr>
      </w:pPr>
      <w:r>
        <w:rPr>
          <w:szCs w:val="32"/>
        </w:rPr>
        <w:t>委托代理人：                   委托代理人：</w:t>
      </w:r>
    </w:p>
    <w:p>
      <w:pPr>
        <w:overflowPunct/>
        <w:adjustRightInd/>
        <w:spacing w:line="560" w:lineRule="exact"/>
        <w:ind w:firstLine="640"/>
        <w:rPr>
          <w:szCs w:val="32"/>
        </w:rPr>
      </w:pPr>
      <w:r>
        <w:rPr>
          <w:szCs w:val="32"/>
        </w:rPr>
        <w:t>地址：                         地址：</w:t>
      </w:r>
    </w:p>
    <w:p>
      <w:pPr>
        <w:overflowPunct/>
        <w:adjustRightInd/>
        <w:spacing w:line="560" w:lineRule="exact"/>
        <w:ind w:firstLine="640"/>
        <w:rPr>
          <w:szCs w:val="32"/>
        </w:rPr>
      </w:pPr>
      <w:r>
        <w:rPr>
          <w:szCs w:val="32"/>
        </w:rPr>
        <w:t>电话：                         电话：</w:t>
      </w:r>
    </w:p>
    <w:p>
      <w:pPr>
        <w:tabs>
          <w:tab w:val="left" w:pos="5812"/>
        </w:tabs>
        <w:kinsoku w:val="0"/>
        <w:spacing w:line="560" w:lineRule="exact"/>
        <w:ind w:firstLine="640"/>
        <w:jc w:val="left"/>
        <w:rPr>
          <w:szCs w:val="32"/>
        </w:rPr>
      </w:pPr>
      <w:r>
        <w:rPr>
          <w:szCs w:val="32"/>
        </w:rPr>
        <w:t xml:space="preserve">日期：  年   月   日        </w:t>
      </w:r>
      <w:r>
        <w:rPr>
          <w:rFonts w:hint="eastAsia"/>
          <w:szCs w:val="32"/>
        </w:rPr>
        <w:t xml:space="preserve">  </w:t>
      </w:r>
      <w:r>
        <w:rPr>
          <w:szCs w:val="32"/>
        </w:rPr>
        <w:t xml:space="preserve"> 日期：  年   月   日</w:t>
      </w:r>
    </w:p>
    <w:p>
      <w:pPr>
        <w:keepNext/>
        <w:keepLines/>
        <w:spacing w:before="340" w:after="330" w:line="560" w:lineRule="exact"/>
        <w:ind w:firstLine="0" w:firstLineChars="0"/>
        <w:jc w:val="center"/>
        <w:outlineLvl w:val="0"/>
        <w:rPr>
          <w:b/>
          <w:bCs/>
          <w:kern w:val="44"/>
          <w:szCs w:val="32"/>
        </w:rPr>
      </w:pPr>
    </w:p>
    <w:p>
      <w:pPr>
        <w:overflowPunct/>
        <w:adjustRightInd/>
        <w:snapToGrid/>
        <w:spacing w:line="560" w:lineRule="exact"/>
        <w:ind w:firstLine="0" w:firstLineChars="0"/>
        <w:rPr>
          <w:szCs w:val="32"/>
        </w:rPr>
      </w:pPr>
      <w:r>
        <w:rPr>
          <w:szCs w:val="32"/>
        </w:rPr>
        <w:br w:type="page"/>
      </w:r>
    </w:p>
    <w:p>
      <w:pPr>
        <w:keepNext/>
        <w:keepLines/>
        <w:spacing w:before="340" w:after="330" w:line="560" w:lineRule="exact"/>
        <w:ind w:firstLine="0" w:firstLineChars="0"/>
        <w:jc w:val="center"/>
        <w:outlineLvl w:val="0"/>
        <w:rPr>
          <w:rFonts w:eastAsia="方正小标宋简体"/>
          <w:kern w:val="44"/>
          <w:sz w:val="44"/>
          <w:szCs w:val="44"/>
        </w:rPr>
      </w:pPr>
      <w:r>
        <w:rPr>
          <w:rFonts w:eastAsia="方正小标宋简体"/>
          <w:kern w:val="44"/>
          <w:sz w:val="44"/>
          <w:szCs w:val="44"/>
        </w:rPr>
        <w:t>第六章 附件</w:t>
      </w:r>
      <w:bookmarkEnd w:id="90"/>
    </w:p>
    <w:p>
      <w:pPr>
        <w:overflowPunct/>
        <w:snapToGrid/>
        <w:spacing w:line="560" w:lineRule="exact"/>
        <w:ind w:firstLine="0" w:firstLineChars="0"/>
        <w:jc w:val="left"/>
        <w:rPr>
          <w:b/>
          <w:bCs/>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jc w:val="center"/>
        <w:rPr>
          <w:rFonts w:eastAsia="方正小标宋简体"/>
          <w:sz w:val="44"/>
          <w:szCs w:val="44"/>
        </w:rPr>
      </w:pPr>
      <w:r>
        <w:rPr>
          <w:rFonts w:eastAsia="方正小标宋简体"/>
          <w:sz w:val="44"/>
          <w:szCs w:val="44"/>
        </w:rPr>
        <w:t>XX地区</w:t>
      </w:r>
      <w:r>
        <w:rPr>
          <w:rFonts w:hint="eastAsia" w:eastAsia="方正小标宋简体"/>
          <w:sz w:val="44"/>
          <w:szCs w:val="44"/>
        </w:rPr>
        <w:t>中小学食材采购项目</w:t>
      </w:r>
    </w:p>
    <w:p>
      <w:pPr>
        <w:overflowPunct/>
        <w:adjustRightInd/>
        <w:snapToGrid/>
        <w:spacing w:line="560" w:lineRule="exact"/>
        <w:ind w:firstLine="0" w:firstLineChars="0"/>
        <w:jc w:val="center"/>
        <w:rPr>
          <w:rFonts w:eastAsia="方正小标宋简体"/>
          <w:sz w:val="44"/>
          <w:szCs w:val="44"/>
        </w:rPr>
      </w:pPr>
      <w:r>
        <w:rPr>
          <w:rFonts w:eastAsia="方正小标宋简体"/>
          <w:sz w:val="44"/>
          <w:szCs w:val="44"/>
        </w:rPr>
        <w:t>投标文件</w:t>
      </w: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rPr>
          <w:szCs w:val="32"/>
        </w:rPr>
      </w:pPr>
    </w:p>
    <w:p>
      <w:pPr>
        <w:overflowPunct/>
        <w:adjustRightInd/>
        <w:snapToGrid/>
        <w:spacing w:line="560" w:lineRule="exact"/>
        <w:ind w:firstLine="0" w:firstLineChars="0"/>
        <w:jc w:val="center"/>
        <w:rPr>
          <w:b/>
          <w:bCs/>
          <w:szCs w:val="32"/>
          <w:u w:val="single"/>
        </w:rPr>
      </w:pPr>
      <w:r>
        <w:rPr>
          <w:b/>
          <w:bCs/>
          <w:szCs w:val="32"/>
        </w:rPr>
        <w:t>投标人：（盖单位章）</w:t>
      </w:r>
    </w:p>
    <w:p>
      <w:pPr>
        <w:overflowPunct/>
        <w:adjustRightInd/>
        <w:snapToGrid/>
        <w:spacing w:line="560" w:lineRule="exact"/>
        <w:ind w:firstLine="0" w:firstLineChars="0"/>
        <w:jc w:val="center"/>
        <w:rPr>
          <w:b/>
          <w:bCs/>
          <w:szCs w:val="32"/>
        </w:rPr>
      </w:pPr>
      <w:r>
        <w:rPr>
          <w:b/>
          <w:bCs/>
          <w:szCs w:val="32"/>
        </w:rPr>
        <w:t>法定代表人或其委托代理人：（签字或签章）</w:t>
      </w:r>
    </w:p>
    <w:p>
      <w:pPr>
        <w:overflowPunct/>
        <w:adjustRightInd/>
        <w:snapToGrid/>
        <w:spacing w:line="560" w:lineRule="exact"/>
        <w:ind w:firstLine="0" w:firstLineChars="0"/>
        <w:jc w:val="center"/>
        <w:rPr>
          <w:b/>
          <w:bCs/>
          <w:szCs w:val="32"/>
        </w:rPr>
      </w:pPr>
      <w:r>
        <w:rPr>
          <w:b/>
          <w:bCs/>
          <w:szCs w:val="32"/>
        </w:rPr>
        <w:t xml:space="preserve">年 月 日 </w:t>
      </w:r>
    </w:p>
    <w:p>
      <w:pPr>
        <w:overflowPunct/>
        <w:adjustRightInd/>
        <w:snapToGrid/>
        <w:spacing w:line="560" w:lineRule="exact"/>
        <w:ind w:firstLine="0" w:firstLineChars="0"/>
        <w:jc w:val="center"/>
        <w:rPr>
          <w:b/>
          <w:bCs/>
          <w:szCs w:val="32"/>
        </w:rPr>
      </w:pPr>
    </w:p>
    <w:p>
      <w:pPr>
        <w:overflowPunct/>
        <w:adjustRightInd/>
        <w:snapToGrid/>
        <w:spacing w:before="439" w:beforeLines="100" w:after="439" w:afterLines="100" w:line="560" w:lineRule="exact"/>
        <w:ind w:firstLine="0" w:firstLineChars="0"/>
        <w:rPr>
          <w:szCs w:val="32"/>
        </w:rPr>
      </w:pPr>
    </w:p>
    <w:p>
      <w:pPr>
        <w:overflowPunct/>
        <w:adjustRightInd/>
        <w:snapToGrid/>
        <w:spacing w:before="439" w:beforeLines="100" w:after="439" w:afterLines="100" w:line="560" w:lineRule="exact"/>
        <w:ind w:firstLine="0" w:firstLineChars="0"/>
        <w:jc w:val="center"/>
        <w:rPr>
          <w:rFonts w:eastAsia="方正小标宋简体"/>
          <w:sz w:val="44"/>
          <w:szCs w:val="44"/>
        </w:rPr>
      </w:pPr>
      <w:r>
        <w:rPr>
          <w:rFonts w:eastAsia="方正小标宋简体"/>
          <w:sz w:val="44"/>
          <w:szCs w:val="44"/>
        </w:rPr>
        <w:t>目录</w:t>
      </w:r>
    </w:p>
    <w:p>
      <w:pPr>
        <w:overflowPunct/>
        <w:adjustRightInd/>
        <w:snapToGrid/>
        <w:spacing w:line="560" w:lineRule="exact"/>
        <w:ind w:firstLine="0" w:firstLineChars="0"/>
        <w:jc w:val="center"/>
        <w:rPr>
          <w:szCs w:val="32"/>
        </w:rPr>
      </w:pPr>
      <w:r>
        <w:rPr>
          <w:szCs w:val="32"/>
        </w:rPr>
        <w:t>注：投标人根据投标文件编制顺序制作目录（须生成页码）</w:t>
      </w:r>
    </w:p>
    <w:p>
      <w:pPr>
        <w:keepNext/>
        <w:keepLines/>
        <w:numPr>
          <w:ilvl w:val="1"/>
          <w:numId w:val="0"/>
        </w:numPr>
        <w:spacing w:before="260" w:after="260" w:line="560" w:lineRule="exact"/>
        <w:outlineLvl w:val="1"/>
        <w:rPr>
          <w:b/>
          <w:bCs/>
          <w:szCs w:val="32"/>
        </w:rPr>
      </w:pPr>
      <w:r>
        <w:rPr>
          <w:b/>
          <w:bCs/>
          <w:szCs w:val="32"/>
        </w:rPr>
        <w:br w:type="page"/>
      </w:r>
    </w:p>
    <w:p>
      <w:pPr>
        <w:spacing w:line="560" w:lineRule="exact"/>
        <w:ind w:firstLine="602"/>
        <w:jc w:val="center"/>
        <w:rPr>
          <w:b/>
          <w:bCs/>
          <w:sz w:val="30"/>
          <w:szCs w:val="30"/>
        </w:rPr>
      </w:pPr>
      <w:bookmarkStart w:id="91" w:name="_Hlk66377786"/>
      <w:r>
        <w:rPr>
          <w:b/>
          <w:bCs/>
          <w:sz w:val="30"/>
          <w:szCs w:val="30"/>
        </w:rPr>
        <w:t>评分索引表（可根据评分标准进行编写）</w:t>
      </w:r>
    </w:p>
    <w:bookmarkEnd w:id="91"/>
    <w:tbl>
      <w:tblPr>
        <w:tblStyle w:val="23"/>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4643"/>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overflowPunct/>
              <w:adjustRightInd/>
              <w:snapToGrid/>
              <w:spacing w:before="120" w:after="120" w:line="360" w:lineRule="exact"/>
              <w:ind w:firstLine="0" w:firstLineChars="0"/>
              <w:jc w:val="center"/>
              <w:rPr>
                <w:b/>
                <w:bCs/>
                <w:sz w:val="30"/>
                <w:szCs w:val="30"/>
              </w:rPr>
            </w:pPr>
            <w:r>
              <w:rPr>
                <w:b/>
                <w:sz w:val="30"/>
                <w:szCs w:val="30"/>
              </w:rPr>
              <w:t>序号</w:t>
            </w:r>
          </w:p>
        </w:tc>
        <w:tc>
          <w:tcPr>
            <w:tcW w:w="4643" w:type="dxa"/>
            <w:vAlign w:val="center"/>
          </w:tcPr>
          <w:p>
            <w:pPr>
              <w:overflowPunct/>
              <w:adjustRightInd/>
              <w:snapToGrid/>
              <w:spacing w:line="360" w:lineRule="exact"/>
              <w:ind w:firstLine="0" w:firstLineChars="0"/>
              <w:jc w:val="center"/>
              <w:rPr>
                <w:b/>
                <w:sz w:val="30"/>
                <w:szCs w:val="30"/>
              </w:rPr>
            </w:pPr>
            <w:r>
              <w:rPr>
                <w:b/>
                <w:sz w:val="30"/>
                <w:szCs w:val="30"/>
              </w:rPr>
              <w:t>评</w:t>
            </w:r>
            <w:r>
              <w:rPr>
                <w:rFonts w:hint="eastAsia"/>
                <w:b/>
                <w:sz w:val="30"/>
                <w:szCs w:val="30"/>
              </w:rPr>
              <w:t>分</w:t>
            </w:r>
            <w:r>
              <w:rPr>
                <w:b/>
                <w:sz w:val="30"/>
                <w:szCs w:val="30"/>
              </w:rPr>
              <w:t>因素</w:t>
            </w:r>
          </w:p>
        </w:tc>
        <w:tc>
          <w:tcPr>
            <w:tcW w:w="2586" w:type="dxa"/>
            <w:vAlign w:val="center"/>
          </w:tcPr>
          <w:p>
            <w:pPr>
              <w:overflowPunct/>
              <w:adjustRightInd/>
              <w:snapToGrid/>
              <w:spacing w:line="360" w:lineRule="exact"/>
              <w:ind w:firstLine="0" w:firstLineChars="0"/>
              <w:jc w:val="center"/>
              <w:rPr>
                <w:b/>
                <w:sz w:val="30"/>
                <w:szCs w:val="30"/>
                <w:lang w:bidi="en-US"/>
              </w:rPr>
            </w:pPr>
            <w:r>
              <w:rPr>
                <w:b/>
                <w:sz w:val="30"/>
                <w:szCs w:val="30"/>
                <w:lang w:bidi="en-US"/>
              </w:rPr>
              <w:t>在投标文件中的</w:t>
            </w:r>
          </w:p>
          <w:p>
            <w:pPr>
              <w:overflowPunct/>
              <w:adjustRightInd/>
              <w:snapToGrid/>
              <w:spacing w:line="360" w:lineRule="exact"/>
              <w:ind w:firstLine="0" w:firstLineChars="0"/>
              <w:jc w:val="center"/>
              <w:rPr>
                <w:b/>
                <w:sz w:val="30"/>
                <w:szCs w:val="30"/>
                <w:lang w:bidi="en-US"/>
              </w:rPr>
            </w:pPr>
            <w:r>
              <w:rPr>
                <w:b/>
                <w:sz w:val="30"/>
                <w:szCs w:val="30"/>
                <w:lang w:bidi="en-U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pPr>
              <w:spacing w:before="120" w:after="120" w:line="560" w:lineRule="exact"/>
              <w:ind w:left="1442" w:firstLine="602"/>
              <w:jc w:val="center"/>
              <w:rPr>
                <w:b/>
                <w:sz w:val="30"/>
                <w:szCs w:val="30"/>
              </w:rPr>
            </w:pPr>
          </w:p>
        </w:tc>
        <w:tc>
          <w:tcPr>
            <w:tcW w:w="4643" w:type="dxa"/>
            <w:vAlign w:val="center"/>
          </w:tcPr>
          <w:p>
            <w:pPr>
              <w:overflowPunct/>
              <w:adjustRightInd/>
              <w:snapToGrid/>
              <w:spacing w:line="560" w:lineRule="exact"/>
              <w:ind w:firstLine="0" w:firstLineChars="0"/>
              <w:jc w:val="center"/>
              <w:rPr>
                <w:b/>
                <w:sz w:val="30"/>
                <w:szCs w:val="30"/>
                <w:lang w:bidi="en-US"/>
              </w:rPr>
            </w:pPr>
          </w:p>
        </w:tc>
        <w:tc>
          <w:tcPr>
            <w:tcW w:w="2586" w:type="dxa"/>
            <w:vAlign w:val="center"/>
          </w:tcPr>
          <w:p>
            <w:pPr>
              <w:overflowPunct/>
              <w:adjustRightInd/>
              <w:snapToGrid/>
              <w:spacing w:line="560" w:lineRule="exact"/>
              <w:ind w:firstLine="0" w:firstLineChars="0"/>
              <w:jc w:val="center"/>
              <w:rPr>
                <w:b/>
                <w:sz w:val="30"/>
                <w:szCs w:val="30"/>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pPr>
              <w:spacing w:before="120" w:after="120" w:line="560" w:lineRule="exact"/>
              <w:ind w:left="1440" w:firstLine="600"/>
              <w:jc w:val="center"/>
              <w:rPr>
                <w:sz w:val="30"/>
                <w:szCs w:val="30"/>
              </w:rPr>
            </w:pPr>
          </w:p>
        </w:tc>
        <w:tc>
          <w:tcPr>
            <w:tcW w:w="4643" w:type="dxa"/>
            <w:vAlign w:val="center"/>
          </w:tcPr>
          <w:p>
            <w:pPr>
              <w:overflowPunct/>
              <w:adjustRightInd/>
              <w:snapToGrid/>
              <w:spacing w:line="560" w:lineRule="exact"/>
              <w:ind w:firstLine="0" w:firstLineChars="0"/>
              <w:jc w:val="center"/>
              <w:rPr>
                <w:sz w:val="30"/>
                <w:szCs w:val="30"/>
              </w:rPr>
            </w:pPr>
          </w:p>
        </w:tc>
        <w:tc>
          <w:tcPr>
            <w:tcW w:w="2586" w:type="dxa"/>
            <w:vAlign w:val="center"/>
          </w:tcPr>
          <w:p>
            <w:pPr>
              <w:overflowPunct/>
              <w:adjustRightInd/>
              <w:snapToGrid/>
              <w:spacing w:line="560" w:lineRule="exact"/>
              <w:ind w:firstLine="0" w:firstLineChars="0"/>
              <w:jc w:val="center"/>
              <w:rPr>
                <w:sz w:val="30"/>
                <w:szCs w:val="30"/>
              </w:rPr>
            </w:pPr>
          </w:p>
        </w:tc>
      </w:tr>
    </w:tbl>
    <w:p>
      <w:pPr>
        <w:overflowPunct/>
        <w:adjustRightInd/>
        <w:snapToGrid/>
        <w:spacing w:line="240" w:lineRule="auto"/>
        <w:ind w:firstLine="0" w:firstLineChars="0"/>
        <w:rPr>
          <w:rFonts w:eastAsia="黑体"/>
          <w:szCs w:val="32"/>
        </w:rPr>
      </w:pPr>
      <w:r>
        <w:rPr>
          <w:rFonts w:eastAsia="黑体"/>
          <w:szCs w:val="32"/>
        </w:rPr>
        <w:br w:type="page"/>
      </w:r>
    </w:p>
    <w:p>
      <w:pPr>
        <w:keepNext/>
        <w:keepLines/>
        <w:numPr>
          <w:ilvl w:val="1"/>
          <w:numId w:val="0"/>
        </w:numPr>
        <w:spacing w:before="260" w:after="260" w:line="560" w:lineRule="exact"/>
        <w:outlineLvl w:val="1"/>
        <w:rPr>
          <w:rFonts w:eastAsia="黑体"/>
          <w:szCs w:val="32"/>
        </w:rPr>
      </w:pPr>
      <w:r>
        <w:rPr>
          <w:rFonts w:eastAsia="黑体"/>
          <w:szCs w:val="32"/>
        </w:rPr>
        <w:t>附件一、投标申请及声明格式</w:t>
      </w:r>
    </w:p>
    <w:p>
      <w:pPr>
        <w:shd w:val="clear" w:color="auto" w:fill="FFFFFF"/>
        <w:overflowPunct/>
        <w:adjustRightInd/>
        <w:snapToGrid/>
        <w:spacing w:line="560" w:lineRule="exact"/>
        <w:ind w:firstLine="0" w:firstLineChars="0"/>
        <w:jc w:val="center"/>
        <w:rPr>
          <w:b/>
          <w:kern w:val="0"/>
          <w:sz w:val="30"/>
          <w:szCs w:val="30"/>
        </w:rPr>
      </w:pPr>
      <w:r>
        <w:rPr>
          <w:b/>
          <w:kern w:val="0"/>
          <w:sz w:val="30"/>
          <w:szCs w:val="30"/>
        </w:rPr>
        <w:t>投标申请及声明</w:t>
      </w:r>
    </w:p>
    <w:p>
      <w:pPr>
        <w:shd w:val="clear" w:color="auto" w:fill="FFFFFF"/>
        <w:overflowPunct/>
        <w:adjustRightInd/>
        <w:snapToGrid/>
        <w:spacing w:line="560" w:lineRule="exact"/>
        <w:ind w:firstLine="0" w:firstLineChars="0"/>
        <w:jc w:val="center"/>
        <w:rPr>
          <w:b/>
          <w:kern w:val="0"/>
          <w:szCs w:val="32"/>
        </w:rPr>
      </w:pPr>
    </w:p>
    <w:p>
      <w:pPr>
        <w:shd w:val="clear" w:color="auto" w:fill="FFFFFF"/>
        <w:overflowPunct/>
        <w:adjustRightInd/>
        <w:snapToGrid/>
        <w:spacing w:line="560" w:lineRule="exact"/>
        <w:ind w:firstLine="0" w:firstLineChars="0"/>
        <w:rPr>
          <w:kern w:val="0"/>
          <w:sz w:val="28"/>
          <w:szCs w:val="28"/>
        </w:rPr>
      </w:pPr>
      <w:r>
        <w:rPr>
          <w:kern w:val="0"/>
          <w:sz w:val="28"/>
          <w:szCs w:val="28"/>
        </w:rPr>
        <w:t>致✕✕县（市、区）</w:t>
      </w:r>
      <w:r>
        <w:rPr>
          <w:rFonts w:hint="eastAsia"/>
          <w:kern w:val="0"/>
          <w:sz w:val="28"/>
          <w:szCs w:val="28"/>
        </w:rPr>
        <w:t>学校</w:t>
      </w:r>
      <w:r>
        <w:rPr>
          <w:kern w:val="0"/>
          <w:sz w:val="28"/>
          <w:szCs w:val="28"/>
        </w:rPr>
        <w:t>成立食材采购联合体：</w:t>
      </w:r>
    </w:p>
    <w:p>
      <w:pPr>
        <w:shd w:val="clear" w:color="auto" w:fill="FFFFFF"/>
        <w:overflowPunct/>
        <w:adjustRightInd/>
        <w:snapToGrid/>
        <w:spacing w:line="560" w:lineRule="exact"/>
        <w:ind w:firstLineChars="0"/>
        <w:rPr>
          <w:kern w:val="0"/>
          <w:sz w:val="28"/>
          <w:szCs w:val="28"/>
        </w:rPr>
      </w:pPr>
      <w:r>
        <w:rPr>
          <w:kern w:val="0"/>
          <w:sz w:val="28"/>
          <w:szCs w:val="28"/>
        </w:rPr>
        <w:t>根据贵方</w:t>
      </w:r>
      <w:r>
        <w:rPr>
          <w:kern w:val="0"/>
          <w:sz w:val="28"/>
          <w:szCs w:val="28"/>
          <w:u w:val="single"/>
        </w:rPr>
        <w:t xml:space="preserve">       </w:t>
      </w:r>
      <w:r>
        <w:rPr>
          <w:bCs/>
          <w:kern w:val="0"/>
          <w:sz w:val="28"/>
          <w:szCs w:val="28"/>
          <w:u w:val="single"/>
        </w:rPr>
        <w:t>（</w:t>
      </w:r>
      <w:r>
        <w:rPr>
          <w:kern w:val="0"/>
          <w:sz w:val="28"/>
          <w:szCs w:val="28"/>
        </w:rPr>
        <w:t>项目名称）</w:t>
      </w:r>
      <w:r>
        <w:rPr>
          <w:kern w:val="0"/>
          <w:sz w:val="28"/>
          <w:szCs w:val="28"/>
          <w:u w:val="single"/>
        </w:rPr>
        <w:t xml:space="preserve">     </w:t>
      </w:r>
      <w:r>
        <w:rPr>
          <w:kern w:val="0"/>
          <w:sz w:val="28"/>
          <w:szCs w:val="28"/>
        </w:rPr>
        <w:t>（项目编号）投标邀请，正式授权下述签字人</w:t>
      </w:r>
      <w:r>
        <w:rPr>
          <w:kern w:val="0"/>
          <w:sz w:val="28"/>
          <w:szCs w:val="28"/>
          <w:u w:val="single"/>
        </w:rPr>
        <w:t xml:space="preserve">     </w:t>
      </w:r>
      <w:r>
        <w:rPr>
          <w:kern w:val="0"/>
          <w:sz w:val="28"/>
          <w:szCs w:val="28"/>
        </w:rPr>
        <w:t>(姓名和职务)代表投标人</w:t>
      </w:r>
      <w:r>
        <w:rPr>
          <w:kern w:val="0"/>
          <w:sz w:val="28"/>
          <w:szCs w:val="28"/>
          <w:u w:val="single"/>
        </w:rPr>
        <w:t xml:space="preserve">     </w:t>
      </w:r>
      <w:r>
        <w:rPr>
          <w:kern w:val="0"/>
          <w:sz w:val="28"/>
          <w:szCs w:val="28"/>
        </w:rPr>
        <w:t>（投标人名称），提交投标文件。</w:t>
      </w:r>
    </w:p>
    <w:p>
      <w:pPr>
        <w:shd w:val="clear" w:color="auto" w:fill="FFFFFF"/>
        <w:overflowPunct/>
        <w:adjustRightInd/>
        <w:snapToGrid/>
        <w:spacing w:line="560" w:lineRule="exact"/>
        <w:ind w:firstLineChars="0"/>
        <w:rPr>
          <w:kern w:val="0"/>
          <w:sz w:val="28"/>
          <w:szCs w:val="28"/>
        </w:rPr>
      </w:pPr>
      <w:r>
        <w:rPr>
          <w:kern w:val="0"/>
          <w:sz w:val="28"/>
          <w:szCs w:val="28"/>
        </w:rPr>
        <w:t>据此函，签字人兹宣布声明和承诺如下：</w:t>
      </w:r>
    </w:p>
    <w:p>
      <w:pPr>
        <w:shd w:val="clear" w:color="auto" w:fill="FFFFFF"/>
        <w:overflowPunct/>
        <w:adjustRightInd/>
        <w:snapToGrid/>
        <w:spacing w:line="560" w:lineRule="exact"/>
        <w:ind w:firstLineChars="0"/>
        <w:rPr>
          <w:kern w:val="0"/>
          <w:sz w:val="28"/>
          <w:szCs w:val="28"/>
        </w:rPr>
      </w:pPr>
      <w:r>
        <w:rPr>
          <w:rFonts w:hint="eastAsia"/>
          <w:kern w:val="0"/>
          <w:sz w:val="28"/>
          <w:szCs w:val="28"/>
        </w:rPr>
        <w:t>1.</w:t>
      </w:r>
      <w:r>
        <w:rPr>
          <w:b/>
          <w:bCs/>
          <w:kern w:val="0"/>
          <w:sz w:val="28"/>
          <w:szCs w:val="28"/>
        </w:rPr>
        <w:t>我们的资格条件完全符合政府采购法和本次采购要求</w:t>
      </w:r>
      <w:r>
        <w:rPr>
          <w:kern w:val="0"/>
          <w:sz w:val="28"/>
          <w:szCs w:val="28"/>
        </w:rPr>
        <w:t>，我们同意并向贵方提供了与投标有关的所有证据和资料。</w:t>
      </w:r>
    </w:p>
    <w:p>
      <w:pPr>
        <w:shd w:val="clear" w:color="auto" w:fill="FFFFFF"/>
        <w:overflowPunct/>
        <w:adjustRightInd/>
        <w:snapToGrid/>
        <w:spacing w:line="560" w:lineRule="exact"/>
        <w:ind w:firstLineChars="0"/>
        <w:rPr>
          <w:kern w:val="0"/>
          <w:sz w:val="28"/>
          <w:szCs w:val="28"/>
        </w:rPr>
      </w:pPr>
      <w:r>
        <w:rPr>
          <w:rFonts w:hint="eastAsia"/>
          <w:kern w:val="0"/>
          <w:sz w:val="28"/>
          <w:szCs w:val="28"/>
        </w:rPr>
        <w:t>2.</w:t>
      </w:r>
      <w:r>
        <w:rPr>
          <w:kern w:val="0"/>
          <w:sz w:val="28"/>
          <w:szCs w:val="28"/>
        </w:rPr>
        <w:t>本项目交付时间为：</w:t>
      </w:r>
      <w:r>
        <w:rPr>
          <w:kern w:val="0"/>
          <w:sz w:val="28"/>
          <w:szCs w:val="28"/>
          <w:u w:val="single"/>
        </w:rPr>
        <w:t>满足招标文件要求</w:t>
      </w:r>
      <w:r>
        <w:rPr>
          <w:kern w:val="0"/>
          <w:sz w:val="28"/>
          <w:szCs w:val="28"/>
        </w:rPr>
        <w:t>。</w:t>
      </w:r>
    </w:p>
    <w:p>
      <w:pPr>
        <w:shd w:val="clear" w:color="auto" w:fill="FFFFFF"/>
        <w:overflowPunct/>
        <w:adjustRightInd/>
        <w:snapToGrid/>
        <w:spacing w:line="560" w:lineRule="exact"/>
        <w:ind w:firstLineChars="0"/>
        <w:rPr>
          <w:kern w:val="0"/>
          <w:sz w:val="28"/>
          <w:szCs w:val="28"/>
        </w:rPr>
      </w:pPr>
      <w:r>
        <w:rPr>
          <w:rFonts w:hint="eastAsia"/>
          <w:kern w:val="0"/>
          <w:sz w:val="28"/>
          <w:szCs w:val="28"/>
        </w:rPr>
        <w:t>3.</w:t>
      </w:r>
      <w:r>
        <w:rPr>
          <w:kern w:val="0"/>
          <w:sz w:val="28"/>
          <w:szCs w:val="28"/>
        </w:rPr>
        <w:t>我们已详细阅读全部招标文件及其有效补充文件，我们放弃对招标文件任何误解的权利，</w:t>
      </w:r>
      <w:r>
        <w:rPr>
          <w:rFonts w:hint="eastAsia"/>
          <w:kern w:val="0"/>
          <w:sz w:val="28"/>
          <w:szCs w:val="28"/>
          <w:lang w:val="en-US" w:eastAsia="zh-CN"/>
        </w:rPr>
        <w:t>在</w:t>
      </w:r>
      <w:r>
        <w:rPr>
          <w:kern w:val="0"/>
          <w:sz w:val="28"/>
          <w:szCs w:val="28"/>
        </w:rPr>
        <w:t>提交投标文件后，</w:t>
      </w:r>
      <w:r>
        <w:rPr>
          <w:b/>
          <w:bCs/>
          <w:kern w:val="0"/>
          <w:sz w:val="28"/>
          <w:szCs w:val="28"/>
        </w:rPr>
        <w:t>不对招标文件本身提出质疑</w:t>
      </w:r>
      <w:r>
        <w:rPr>
          <w:kern w:val="0"/>
          <w:sz w:val="28"/>
          <w:szCs w:val="28"/>
        </w:rPr>
        <w:t>。</w:t>
      </w:r>
    </w:p>
    <w:p>
      <w:pPr>
        <w:shd w:val="clear" w:color="auto" w:fill="FFFFFF"/>
        <w:overflowPunct/>
        <w:adjustRightInd/>
        <w:snapToGrid/>
        <w:spacing w:line="560" w:lineRule="exact"/>
        <w:ind w:firstLineChars="0"/>
        <w:rPr>
          <w:kern w:val="0"/>
          <w:sz w:val="28"/>
          <w:szCs w:val="28"/>
        </w:rPr>
      </w:pPr>
      <w:r>
        <w:rPr>
          <w:rFonts w:hint="eastAsia"/>
          <w:kern w:val="0"/>
          <w:sz w:val="28"/>
          <w:szCs w:val="28"/>
        </w:rPr>
        <w:t>4.</w:t>
      </w:r>
      <w:r>
        <w:rPr>
          <w:kern w:val="0"/>
          <w:sz w:val="28"/>
          <w:szCs w:val="28"/>
        </w:rPr>
        <w:t>我们同意从规定的开标日期起遵循本投标文件，并在规定的投标有效期期满之前均具有约束力。</w:t>
      </w:r>
    </w:p>
    <w:p>
      <w:pPr>
        <w:shd w:val="clear" w:color="auto" w:fill="FFFFFF"/>
        <w:overflowPunct/>
        <w:adjustRightInd/>
        <w:snapToGrid/>
        <w:spacing w:line="560" w:lineRule="exact"/>
        <w:ind w:firstLineChars="0"/>
        <w:rPr>
          <w:kern w:val="0"/>
          <w:sz w:val="28"/>
          <w:szCs w:val="28"/>
        </w:rPr>
      </w:pPr>
      <w:r>
        <w:rPr>
          <w:rFonts w:hint="eastAsia"/>
          <w:kern w:val="0"/>
          <w:sz w:val="28"/>
          <w:szCs w:val="28"/>
        </w:rPr>
        <w:t>5.</w:t>
      </w:r>
      <w:r>
        <w:rPr>
          <w:kern w:val="0"/>
          <w:sz w:val="28"/>
          <w:szCs w:val="28"/>
        </w:rPr>
        <w:t>投标截止时间结束后参加投标的投标人不足三家的，或在评标期间出现符合专业条件的投标人或者对招标文件作出实质响应的投标人不足三家情形的，我们酌情决定是否参加当场变更的</w:t>
      </w:r>
      <w:r>
        <w:rPr>
          <w:rFonts w:hint="eastAsia"/>
          <w:kern w:val="0"/>
          <w:sz w:val="28"/>
          <w:szCs w:val="28"/>
        </w:rPr>
        <w:t>其他</w:t>
      </w:r>
      <w:r>
        <w:rPr>
          <w:kern w:val="0"/>
          <w:sz w:val="28"/>
          <w:szCs w:val="28"/>
        </w:rPr>
        <w:t>采购方式采购。</w:t>
      </w:r>
    </w:p>
    <w:p>
      <w:pPr>
        <w:shd w:val="clear" w:color="auto" w:fill="FFFFFF"/>
        <w:overflowPunct/>
        <w:adjustRightInd/>
        <w:snapToGrid/>
        <w:spacing w:line="560" w:lineRule="exact"/>
        <w:ind w:firstLineChars="0"/>
        <w:rPr>
          <w:kern w:val="0"/>
          <w:sz w:val="28"/>
          <w:szCs w:val="28"/>
        </w:rPr>
      </w:pPr>
      <w:r>
        <w:rPr>
          <w:rFonts w:hint="eastAsia"/>
          <w:kern w:val="0"/>
          <w:sz w:val="28"/>
          <w:szCs w:val="28"/>
        </w:rPr>
        <w:t>6.</w:t>
      </w:r>
      <w:r>
        <w:rPr>
          <w:kern w:val="0"/>
          <w:sz w:val="28"/>
          <w:szCs w:val="28"/>
        </w:rPr>
        <w:t>一旦我方中标，我方将根据招标文件的规定严格履行合同，并保证于承诺的时间完成相关服务，交付采购人验收、使用。</w:t>
      </w:r>
    </w:p>
    <w:p>
      <w:pPr>
        <w:shd w:val="clear" w:color="auto" w:fill="FFFFFF"/>
        <w:overflowPunct/>
        <w:adjustRightInd/>
        <w:snapToGrid/>
        <w:spacing w:line="560" w:lineRule="exact"/>
        <w:ind w:firstLineChars="0"/>
        <w:rPr>
          <w:kern w:val="0"/>
          <w:sz w:val="28"/>
          <w:szCs w:val="28"/>
        </w:rPr>
      </w:pPr>
      <w:r>
        <w:rPr>
          <w:rFonts w:hint="eastAsia"/>
          <w:kern w:val="0"/>
          <w:sz w:val="28"/>
          <w:szCs w:val="28"/>
        </w:rPr>
        <w:t>7.</w:t>
      </w:r>
      <w:r>
        <w:rPr>
          <w:kern w:val="0"/>
          <w:sz w:val="28"/>
          <w:szCs w:val="28"/>
        </w:rPr>
        <w:t>我方决不提供虚假材料谋取中标、决不采取不正当手段诋毁、排挤其他投标人、决不与采购人、</w:t>
      </w:r>
      <w:r>
        <w:rPr>
          <w:rFonts w:hint="eastAsia"/>
          <w:kern w:val="0"/>
          <w:sz w:val="28"/>
          <w:szCs w:val="28"/>
        </w:rPr>
        <w:t>其他</w:t>
      </w:r>
      <w:r>
        <w:rPr>
          <w:kern w:val="0"/>
          <w:sz w:val="28"/>
          <w:szCs w:val="28"/>
        </w:rPr>
        <w:t>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shd w:val="clear" w:color="auto" w:fill="FFFFFF"/>
        <w:overflowPunct/>
        <w:adjustRightInd/>
        <w:snapToGrid/>
        <w:spacing w:line="560" w:lineRule="exact"/>
        <w:ind w:firstLineChars="0"/>
        <w:rPr>
          <w:kern w:val="0"/>
          <w:sz w:val="28"/>
          <w:szCs w:val="28"/>
        </w:rPr>
      </w:pPr>
      <w:r>
        <w:rPr>
          <w:rFonts w:hint="eastAsia"/>
          <w:kern w:val="0"/>
          <w:sz w:val="28"/>
          <w:szCs w:val="28"/>
        </w:rPr>
        <w:t>8.</w:t>
      </w:r>
      <w:r>
        <w:rPr>
          <w:kern w:val="0"/>
          <w:sz w:val="28"/>
          <w:szCs w:val="28"/>
        </w:rPr>
        <w:t>与</w:t>
      </w:r>
      <w:r>
        <w:rPr>
          <w:rFonts w:hint="eastAsia"/>
          <w:kern w:val="0"/>
          <w:sz w:val="28"/>
          <w:szCs w:val="28"/>
          <w:lang w:eastAsia="zh-CN"/>
        </w:rPr>
        <w:t>本次</w:t>
      </w:r>
      <w:r>
        <w:rPr>
          <w:kern w:val="0"/>
          <w:sz w:val="28"/>
          <w:szCs w:val="28"/>
        </w:rPr>
        <w:t>投标有关的正式联系方式为：</w:t>
      </w:r>
    </w:p>
    <w:p>
      <w:pPr>
        <w:shd w:val="clear" w:color="auto" w:fill="FFFFFF"/>
        <w:overflowPunct/>
        <w:adjustRightInd/>
        <w:snapToGrid/>
        <w:spacing w:line="560" w:lineRule="exact"/>
        <w:ind w:firstLineChars="0"/>
        <w:rPr>
          <w:kern w:val="0"/>
          <w:sz w:val="28"/>
          <w:szCs w:val="28"/>
          <w:u w:val="single"/>
        </w:rPr>
      </w:pPr>
      <w:r>
        <w:rPr>
          <w:kern w:val="0"/>
          <w:sz w:val="28"/>
          <w:szCs w:val="28"/>
        </w:rPr>
        <w:t>地址：</w:t>
      </w:r>
      <w:r>
        <w:rPr>
          <w:kern w:val="0"/>
          <w:sz w:val="28"/>
          <w:szCs w:val="28"/>
          <w:u w:val="single"/>
        </w:rPr>
        <w:t xml:space="preserve">                </w:t>
      </w:r>
    </w:p>
    <w:p>
      <w:pPr>
        <w:shd w:val="clear" w:color="auto" w:fill="FFFFFF"/>
        <w:overflowPunct/>
        <w:adjustRightInd/>
        <w:snapToGrid/>
        <w:spacing w:line="560" w:lineRule="exact"/>
        <w:ind w:firstLineChars="0"/>
        <w:rPr>
          <w:kern w:val="0"/>
          <w:sz w:val="28"/>
          <w:szCs w:val="28"/>
        </w:rPr>
      </w:pPr>
      <w:r>
        <w:rPr>
          <w:kern w:val="0"/>
          <w:sz w:val="28"/>
          <w:szCs w:val="28"/>
        </w:rPr>
        <w:t>电话：</w:t>
      </w:r>
      <w:r>
        <w:rPr>
          <w:kern w:val="0"/>
          <w:sz w:val="28"/>
          <w:szCs w:val="28"/>
          <w:u w:val="single"/>
        </w:rPr>
        <w:t xml:space="preserve">                </w:t>
      </w:r>
    </w:p>
    <w:p>
      <w:pPr>
        <w:shd w:val="clear" w:color="auto" w:fill="FFFFFF"/>
        <w:overflowPunct/>
        <w:adjustRightInd/>
        <w:snapToGrid/>
        <w:spacing w:line="560" w:lineRule="exact"/>
        <w:ind w:firstLineChars="0"/>
        <w:rPr>
          <w:kern w:val="0"/>
          <w:sz w:val="28"/>
          <w:szCs w:val="28"/>
          <w:u w:val="single"/>
        </w:rPr>
      </w:pPr>
      <w:r>
        <w:rPr>
          <w:kern w:val="0"/>
          <w:sz w:val="28"/>
          <w:szCs w:val="28"/>
        </w:rPr>
        <w:t>传真：</w:t>
      </w:r>
      <w:r>
        <w:rPr>
          <w:kern w:val="0"/>
          <w:sz w:val="28"/>
          <w:szCs w:val="28"/>
          <w:u w:val="single"/>
        </w:rPr>
        <w:t xml:space="preserve">                </w:t>
      </w:r>
    </w:p>
    <w:p>
      <w:pPr>
        <w:shd w:val="clear" w:color="auto" w:fill="FFFFFF"/>
        <w:overflowPunct/>
        <w:adjustRightInd/>
        <w:snapToGrid/>
        <w:spacing w:line="560" w:lineRule="exact"/>
        <w:ind w:firstLineChars="0"/>
        <w:rPr>
          <w:kern w:val="0"/>
          <w:sz w:val="28"/>
          <w:szCs w:val="28"/>
          <w:u w:val="single"/>
        </w:rPr>
      </w:pPr>
      <w:r>
        <w:rPr>
          <w:kern w:val="0"/>
          <w:sz w:val="28"/>
          <w:szCs w:val="28"/>
        </w:rPr>
        <w:t>开户银行：</w:t>
      </w:r>
      <w:r>
        <w:rPr>
          <w:kern w:val="0"/>
          <w:sz w:val="28"/>
          <w:szCs w:val="28"/>
          <w:u w:val="single"/>
        </w:rPr>
        <w:t xml:space="preserve">                    </w:t>
      </w:r>
    </w:p>
    <w:p>
      <w:pPr>
        <w:shd w:val="clear" w:color="auto" w:fill="FFFFFF"/>
        <w:overflowPunct/>
        <w:adjustRightInd/>
        <w:snapToGrid/>
        <w:spacing w:line="560" w:lineRule="exact"/>
        <w:ind w:firstLineChars="0"/>
        <w:rPr>
          <w:kern w:val="0"/>
          <w:sz w:val="28"/>
          <w:szCs w:val="28"/>
          <w:u w:val="single"/>
        </w:rPr>
      </w:pPr>
      <w:r>
        <w:rPr>
          <w:kern w:val="0"/>
          <w:sz w:val="28"/>
          <w:szCs w:val="28"/>
        </w:rPr>
        <w:t>银行账号：</w:t>
      </w:r>
      <w:r>
        <w:rPr>
          <w:kern w:val="0"/>
          <w:sz w:val="28"/>
          <w:szCs w:val="28"/>
          <w:u w:val="single"/>
        </w:rPr>
        <w:t xml:space="preserve">                    </w:t>
      </w:r>
    </w:p>
    <w:p>
      <w:pPr>
        <w:shd w:val="clear" w:color="auto" w:fill="FFFFFF"/>
        <w:overflowPunct/>
        <w:adjustRightInd/>
        <w:snapToGrid/>
        <w:spacing w:line="560" w:lineRule="exact"/>
        <w:ind w:firstLineChars="0"/>
        <w:rPr>
          <w:kern w:val="0"/>
          <w:sz w:val="28"/>
          <w:szCs w:val="28"/>
        </w:rPr>
      </w:pPr>
      <w:r>
        <w:rPr>
          <w:kern w:val="0"/>
          <w:sz w:val="28"/>
          <w:szCs w:val="28"/>
        </w:rPr>
        <w:t>投标人委托代理人姓名（签字或签章）：</w:t>
      </w:r>
      <w:r>
        <w:rPr>
          <w:kern w:val="0"/>
          <w:sz w:val="28"/>
          <w:szCs w:val="28"/>
          <w:u w:val="single"/>
        </w:rPr>
        <w:t xml:space="preserve">         </w:t>
      </w:r>
    </w:p>
    <w:p>
      <w:pPr>
        <w:shd w:val="clear" w:color="auto" w:fill="FFFFFF"/>
        <w:overflowPunct/>
        <w:adjustRightInd/>
        <w:snapToGrid/>
        <w:spacing w:line="560" w:lineRule="exact"/>
        <w:ind w:firstLineChars="0"/>
        <w:rPr>
          <w:kern w:val="0"/>
          <w:sz w:val="28"/>
          <w:szCs w:val="28"/>
        </w:rPr>
      </w:pPr>
      <w:r>
        <w:rPr>
          <w:kern w:val="0"/>
          <w:sz w:val="28"/>
          <w:szCs w:val="28"/>
        </w:rPr>
        <w:t>投标人名称：</w:t>
      </w:r>
      <w:r>
        <w:rPr>
          <w:kern w:val="0"/>
          <w:sz w:val="28"/>
          <w:szCs w:val="28"/>
          <w:u w:val="single"/>
        </w:rPr>
        <w:t xml:space="preserve">          </w:t>
      </w:r>
      <w:r>
        <w:rPr>
          <w:kern w:val="0"/>
          <w:sz w:val="28"/>
          <w:szCs w:val="28"/>
        </w:rPr>
        <w:t>（盖章）</w:t>
      </w:r>
    </w:p>
    <w:p>
      <w:pPr>
        <w:shd w:val="clear" w:color="auto" w:fill="FFFFFF"/>
        <w:overflowPunct/>
        <w:adjustRightInd/>
        <w:snapToGrid/>
        <w:spacing w:line="560" w:lineRule="exact"/>
        <w:ind w:firstLineChars="0"/>
        <w:rPr>
          <w:kern w:val="0"/>
          <w:sz w:val="28"/>
          <w:szCs w:val="28"/>
        </w:rPr>
      </w:pPr>
      <w:r>
        <w:rPr>
          <w:kern w:val="0"/>
          <w:sz w:val="28"/>
          <w:szCs w:val="28"/>
        </w:rPr>
        <w:t>日期：</w:t>
      </w:r>
      <w:r>
        <w:rPr>
          <w:kern w:val="0"/>
          <w:sz w:val="28"/>
          <w:szCs w:val="28"/>
          <w:u w:val="single"/>
        </w:rPr>
        <w:t xml:space="preserve">    </w:t>
      </w:r>
      <w:r>
        <w:rPr>
          <w:kern w:val="0"/>
          <w:sz w:val="28"/>
          <w:szCs w:val="28"/>
        </w:rPr>
        <w:t>年</w:t>
      </w:r>
      <w:r>
        <w:rPr>
          <w:kern w:val="0"/>
          <w:sz w:val="28"/>
          <w:szCs w:val="28"/>
          <w:u w:val="single"/>
        </w:rPr>
        <w:t xml:space="preserve">    </w:t>
      </w:r>
      <w:r>
        <w:rPr>
          <w:kern w:val="0"/>
          <w:sz w:val="28"/>
          <w:szCs w:val="28"/>
        </w:rPr>
        <w:t>月</w:t>
      </w:r>
      <w:r>
        <w:rPr>
          <w:kern w:val="0"/>
          <w:sz w:val="28"/>
          <w:szCs w:val="28"/>
          <w:u w:val="single"/>
        </w:rPr>
        <w:t xml:space="preserve">    </w:t>
      </w:r>
      <w:r>
        <w:rPr>
          <w:kern w:val="0"/>
          <w:sz w:val="28"/>
          <w:szCs w:val="28"/>
        </w:rPr>
        <w:t>日</w:t>
      </w:r>
    </w:p>
    <w:p>
      <w:pPr>
        <w:numPr>
          <w:ilvl w:val="255"/>
          <w:numId w:val="0"/>
        </w:numPr>
        <w:shd w:val="clear" w:color="auto" w:fill="FFFFFF"/>
        <w:overflowPunct/>
        <w:adjustRightInd/>
        <w:snapToGrid/>
        <w:spacing w:line="560" w:lineRule="exact"/>
        <w:ind w:firstLine="280" w:firstLineChars="100"/>
        <w:rPr>
          <w:rFonts w:eastAsia="黑体"/>
          <w:szCs w:val="32"/>
        </w:rPr>
      </w:pPr>
      <w:r>
        <w:rPr>
          <w:kern w:val="0"/>
          <w:sz w:val="28"/>
          <w:szCs w:val="28"/>
        </w:rPr>
        <w:br w:type="page"/>
      </w:r>
      <w:r>
        <w:rPr>
          <w:rFonts w:eastAsia="黑体"/>
          <w:szCs w:val="32"/>
        </w:rPr>
        <w:t>附件二、法定代表人授权委托书格式</w:t>
      </w:r>
    </w:p>
    <w:p>
      <w:pPr>
        <w:shd w:val="clear" w:color="auto" w:fill="FFFFFF"/>
        <w:overflowPunct/>
        <w:adjustRightInd/>
        <w:snapToGrid/>
        <w:spacing w:line="560" w:lineRule="exact"/>
        <w:ind w:firstLine="720" w:firstLineChars="0"/>
        <w:jc w:val="center"/>
        <w:rPr>
          <w:kern w:val="0"/>
          <w:szCs w:val="32"/>
        </w:rPr>
      </w:pPr>
    </w:p>
    <w:p>
      <w:pPr>
        <w:shd w:val="clear" w:color="auto" w:fill="FFFFFF"/>
        <w:overflowPunct/>
        <w:adjustRightInd/>
        <w:snapToGrid/>
        <w:spacing w:line="560" w:lineRule="exact"/>
        <w:ind w:firstLine="720" w:firstLineChars="0"/>
        <w:jc w:val="center"/>
        <w:rPr>
          <w:b/>
          <w:kern w:val="0"/>
          <w:sz w:val="30"/>
          <w:szCs w:val="30"/>
        </w:rPr>
      </w:pPr>
      <w:r>
        <w:rPr>
          <w:b/>
          <w:kern w:val="0"/>
          <w:sz w:val="30"/>
          <w:szCs w:val="30"/>
        </w:rPr>
        <w:t>法定代表人授权委托书</w:t>
      </w:r>
    </w:p>
    <w:p>
      <w:pPr>
        <w:shd w:val="clear" w:color="auto" w:fill="FFFFFF"/>
        <w:overflowPunct/>
        <w:adjustRightInd/>
        <w:snapToGrid/>
        <w:spacing w:line="560" w:lineRule="exact"/>
        <w:ind w:firstLine="0" w:firstLineChars="0"/>
        <w:jc w:val="left"/>
        <w:rPr>
          <w:kern w:val="0"/>
          <w:szCs w:val="32"/>
        </w:rPr>
      </w:pPr>
    </w:p>
    <w:p>
      <w:pPr>
        <w:shd w:val="clear" w:color="auto" w:fill="FFFFFF"/>
        <w:overflowPunct/>
        <w:adjustRightInd/>
        <w:snapToGrid/>
        <w:spacing w:line="560" w:lineRule="exact"/>
        <w:ind w:firstLine="0" w:firstLineChars="0"/>
        <w:jc w:val="left"/>
        <w:rPr>
          <w:kern w:val="0"/>
          <w:sz w:val="28"/>
          <w:szCs w:val="28"/>
        </w:rPr>
      </w:pPr>
      <w:r>
        <w:rPr>
          <w:kern w:val="0"/>
          <w:sz w:val="28"/>
          <w:szCs w:val="28"/>
        </w:rPr>
        <w:t>致✕✕县（市、区）</w:t>
      </w:r>
      <w:r>
        <w:rPr>
          <w:rFonts w:hint="eastAsia"/>
          <w:kern w:val="0"/>
          <w:sz w:val="28"/>
          <w:szCs w:val="28"/>
        </w:rPr>
        <w:t>学校</w:t>
      </w:r>
      <w:r>
        <w:rPr>
          <w:kern w:val="0"/>
          <w:sz w:val="28"/>
          <w:szCs w:val="28"/>
        </w:rPr>
        <w:t>成立食材采购联合体：</w:t>
      </w:r>
    </w:p>
    <w:p>
      <w:pPr>
        <w:shd w:val="clear" w:color="auto" w:fill="FFFFFF"/>
        <w:overflowPunct/>
        <w:adjustRightInd/>
        <w:snapToGrid/>
        <w:spacing w:line="560" w:lineRule="exact"/>
        <w:ind w:firstLine="560"/>
        <w:jc w:val="left"/>
        <w:rPr>
          <w:kern w:val="0"/>
          <w:sz w:val="28"/>
          <w:szCs w:val="28"/>
        </w:rPr>
      </w:pPr>
      <w:r>
        <w:rPr>
          <w:kern w:val="0"/>
          <w:sz w:val="28"/>
          <w:szCs w:val="28"/>
        </w:rPr>
        <w:t>本授权书声明：注册于</w:t>
      </w:r>
      <w:r>
        <w:rPr>
          <w:kern w:val="0"/>
          <w:sz w:val="28"/>
          <w:szCs w:val="28"/>
          <w:u w:val="single"/>
        </w:rPr>
        <w:t>              </w:t>
      </w:r>
      <w:r>
        <w:rPr>
          <w:kern w:val="0"/>
          <w:sz w:val="28"/>
          <w:szCs w:val="28"/>
        </w:rPr>
        <w:t>（投标人住址）的</w:t>
      </w:r>
      <w:r>
        <w:rPr>
          <w:kern w:val="0"/>
          <w:sz w:val="28"/>
          <w:szCs w:val="28"/>
          <w:u w:val="single"/>
        </w:rPr>
        <w:t>      </w:t>
      </w:r>
      <w:r>
        <w:rPr>
          <w:kern w:val="0"/>
          <w:sz w:val="28"/>
          <w:szCs w:val="28"/>
        </w:rPr>
        <w:t>（投标人名称）法定代表人</w:t>
      </w:r>
      <w:r>
        <w:rPr>
          <w:kern w:val="0"/>
          <w:sz w:val="28"/>
          <w:szCs w:val="28"/>
          <w:u w:val="single"/>
        </w:rPr>
        <w:t>        </w:t>
      </w:r>
      <w:r>
        <w:rPr>
          <w:kern w:val="0"/>
          <w:sz w:val="28"/>
          <w:szCs w:val="28"/>
        </w:rPr>
        <w:t>（法定代表人姓名、职务）代表本公司授权在下面签字的</w:t>
      </w:r>
      <w:r>
        <w:rPr>
          <w:kern w:val="0"/>
          <w:sz w:val="28"/>
          <w:szCs w:val="28"/>
          <w:u w:val="single"/>
        </w:rPr>
        <w:t>        </w:t>
      </w:r>
      <w:r>
        <w:rPr>
          <w:kern w:val="0"/>
          <w:sz w:val="28"/>
          <w:szCs w:val="28"/>
        </w:rPr>
        <w:t>（投标人代表姓名、职务）为本公司的合法代理人，就贵方组织的</w:t>
      </w:r>
      <w:r>
        <w:rPr>
          <w:kern w:val="0"/>
          <w:sz w:val="28"/>
          <w:szCs w:val="28"/>
          <w:u w:val="single"/>
        </w:rPr>
        <w:t>        </w:t>
      </w:r>
      <w:r>
        <w:rPr>
          <w:kern w:val="0"/>
          <w:sz w:val="28"/>
          <w:szCs w:val="28"/>
        </w:rPr>
        <w:t>（项目名称），</w:t>
      </w:r>
      <w:r>
        <w:rPr>
          <w:kern w:val="0"/>
          <w:sz w:val="28"/>
          <w:szCs w:val="28"/>
          <w:u w:val="single"/>
        </w:rPr>
        <w:t>        </w:t>
      </w:r>
      <w:r>
        <w:rPr>
          <w:kern w:val="0"/>
          <w:sz w:val="28"/>
          <w:szCs w:val="28"/>
        </w:rPr>
        <w:t>（项目编号）投标，以本公司名义处理一切与之有关的事务。</w:t>
      </w:r>
    </w:p>
    <w:p>
      <w:pPr>
        <w:shd w:val="clear" w:color="auto" w:fill="FFFFFF"/>
        <w:overflowPunct/>
        <w:adjustRightInd/>
        <w:snapToGrid/>
        <w:spacing w:line="560" w:lineRule="exact"/>
        <w:ind w:firstLine="497" w:firstLineChars="0"/>
        <w:jc w:val="left"/>
        <w:rPr>
          <w:kern w:val="0"/>
          <w:sz w:val="28"/>
          <w:szCs w:val="28"/>
        </w:rPr>
      </w:pPr>
      <w:r>
        <w:rPr>
          <w:kern w:val="0"/>
          <w:sz w:val="28"/>
          <w:szCs w:val="28"/>
        </w:rPr>
        <w:t>本授权书于    年  月  日签字或签章生效，特此声明。</w:t>
      </w:r>
    </w:p>
    <w:p>
      <w:pPr>
        <w:shd w:val="clear" w:color="auto" w:fill="FFFFFF"/>
        <w:overflowPunct/>
        <w:adjustRightInd/>
        <w:snapToGrid/>
        <w:spacing w:line="560" w:lineRule="exact"/>
        <w:ind w:firstLine="497" w:firstLineChars="0"/>
        <w:jc w:val="left"/>
        <w:rPr>
          <w:kern w:val="0"/>
          <w:sz w:val="28"/>
          <w:szCs w:val="28"/>
        </w:rPr>
      </w:pPr>
      <w:r>
        <w:rPr>
          <w:kern w:val="0"/>
          <w:sz w:val="28"/>
          <w:szCs w:val="28"/>
        </w:rPr>
        <w:t>法定代表人签字或签章：</w:t>
      </w:r>
    </w:p>
    <w:p>
      <w:pPr>
        <w:shd w:val="clear" w:color="auto" w:fill="FFFFFF"/>
        <w:overflowPunct/>
        <w:adjustRightInd/>
        <w:snapToGrid/>
        <w:spacing w:line="560" w:lineRule="exact"/>
        <w:ind w:firstLine="560"/>
        <w:jc w:val="left"/>
        <w:rPr>
          <w:kern w:val="0"/>
          <w:sz w:val="28"/>
          <w:szCs w:val="28"/>
        </w:rPr>
      </w:pPr>
      <w:r>
        <w:rPr>
          <w:kern w:val="0"/>
          <w:sz w:val="28"/>
          <w:szCs w:val="28"/>
        </w:rPr>
        <w:t>委托代理人签字或签章：                   </w:t>
      </w:r>
    </w:p>
    <w:p>
      <w:pPr>
        <w:shd w:val="clear" w:color="auto" w:fill="FFFFFF"/>
        <w:overflowPunct/>
        <w:adjustRightInd/>
        <w:snapToGrid/>
        <w:spacing w:line="560" w:lineRule="exact"/>
        <w:ind w:firstLine="560"/>
        <w:jc w:val="left"/>
        <w:rPr>
          <w:kern w:val="0"/>
          <w:sz w:val="28"/>
          <w:szCs w:val="28"/>
        </w:rPr>
      </w:pPr>
      <w:r>
        <w:rPr>
          <w:kern w:val="0"/>
          <w:sz w:val="28"/>
          <w:szCs w:val="28"/>
        </w:rPr>
        <w:t>日     期：        年    月    日</w:t>
      </w:r>
    </w:p>
    <w:p>
      <w:pPr>
        <w:shd w:val="clear" w:color="auto" w:fill="FFFFFF"/>
        <w:overflowPunct/>
        <w:adjustRightInd/>
        <w:snapToGrid/>
        <w:spacing w:line="560" w:lineRule="exact"/>
        <w:ind w:firstLine="1120" w:firstLineChars="400"/>
        <w:jc w:val="left"/>
        <w:rPr>
          <w:kern w:val="0"/>
          <w:sz w:val="28"/>
          <w:szCs w:val="28"/>
        </w:rPr>
      </w:pPr>
    </w:p>
    <w:p>
      <w:pPr>
        <w:shd w:val="clear" w:color="auto" w:fill="FFFFFF"/>
        <w:overflowPunct/>
        <w:adjustRightInd/>
        <w:snapToGrid/>
        <w:spacing w:line="560" w:lineRule="exact"/>
        <w:ind w:firstLine="0" w:firstLineChars="0"/>
        <w:jc w:val="left"/>
        <w:rPr>
          <w:kern w:val="0"/>
          <w:sz w:val="28"/>
          <w:szCs w:val="28"/>
        </w:rPr>
      </w:pPr>
      <w:r>
        <w:rPr>
          <w:kern w:val="0"/>
          <w:sz w:val="28"/>
          <w:szCs w:val="28"/>
        </w:rPr>
        <w:t>法定代表人的身份证的复印件</w:t>
      </w:r>
      <w:r>
        <w:rPr>
          <w:rFonts w:hint="eastAsia"/>
          <w:kern w:val="0"/>
          <w:sz w:val="28"/>
          <w:szCs w:val="28"/>
        </w:rPr>
        <w:t>：</w:t>
      </w:r>
    </w:p>
    <w:p>
      <w:pPr>
        <w:shd w:val="clear" w:color="auto" w:fill="FFFFFF"/>
        <w:overflowPunct/>
        <w:adjustRightInd/>
        <w:snapToGrid/>
        <w:spacing w:line="560" w:lineRule="exact"/>
        <w:ind w:firstLine="1120" w:firstLineChars="400"/>
        <w:jc w:val="left"/>
        <w:rPr>
          <w:kern w:val="0"/>
          <w:sz w:val="28"/>
          <w:szCs w:val="28"/>
        </w:rPr>
      </w:pPr>
    </w:p>
    <w:p>
      <w:pPr>
        <w:shd w:val="clear" w:color="auto" w:fill="FFFFFF"/>
        <w:overflowPunct/>
        <w:adjustRightInd/>
        <w:snapToGrid/>
        <w:spacing w:line="560" w:lineRule="exact"/>
        <w:ind w:firstLine="1120" w:firstLineChars="400"/>
        <w:jc w:val="left"/>
        <w:rPr>
          <w:kern w:val="0"/>
          <w:sz w:val="28"/>
          <w:szCs w:val="28"/>
        </w:rPr>
      </w:pPr>
    </w:p>
    <w:p>
      <w:pPr>
        <w:shd w:val="clear" w:color="auto" w:fill="FFFFFF"/>
        <w:overflowPunct/>
        <w:adjustRightInd/>
        <w:snapToGrid/>
        <w:spacing w:line="560" w:lineRule="exact"/>
        <w:ind w:firstLine="1120" w:firstLineChars="400"/>
        <w:jc w:val="left"/>
        <w:rPr>
          <w:kern w:val="0"/>
          <w:sz w:val="28"/>
          <w:szCs w:val="28"/>
        </w:rPr>
      </w:pPr>
    </w:p>
    <w:p>
      <w:pPr>
        <w:shd w:val="clear" w:color="auto" w:fill="FFFFFF"/>
        <w:overflowPunct/>
        <w:adjustRightInd/>
        <w:snapToGrid/>
        <w:spacing w:line="560" w:lineRule="exact"/>
        <w:ind w:firstLine="0" w:firstLineChars="0"/>
        <w:jc w:val="left"/>
        <w:rPr>
          <w:kern w:val="0"/>
          <w:sz w:val="28"/>
          <w:szCs w:val="28"/>
        </w:rPr>
      </w:pPr>
      <w:r>
        <w:rPr>
          <w:kern w:val="0"/>
          <w:sz w:val="28"/>
          <w:szCs w:val="28"/>
        </w:rPr>
        <w:t>委托代理人的身份证的复印件</w:t>
      </w:r>
      <w:r>
        <w:rPr>
          <w:rFonts w:hint="eastAsia"/>
          <w:kern w:val="0"/>
          <w:sz w:val="28"/>
          <w:szCs w:val="28"/>
        </w:rPr>
        <w:t>：</w:t>
      </w:r>
    </w:p>
    <w:p>
      <w:pPr>
        <w:shd w:val="clear" w:color="auto" w:fill="FFFFFF"/>
        <w:overflowPunct/>
        <w:adjustRightInd/>
        <w:snapToGrid/>
        <w:spacing w:line="560" w:lineRule="exact"/>
        <w:ind w:firstLine="1280" w:firstLineChars="400"/>
        <w:jc w:val="left"/>
        <w:rPr>
          <w:kern w:val="0"/>
          <w:szCs w:val="32"/>
        </w:rPr>
      </w:pPr>
    </w:p>
    <w:p>
      <w:pPr>
        <w:shd w:val="clear" w:color="auto" w:fill="FFFFFF"/>
        <w:overflowPunct/>
        <w:adjustRightInd/>
        <w:snapToGrid/>
        <w:spacing w:line="560" w:lineRule="exact"/>
        <w:ind w:firstLine="1280" w:firstLineChars="400"/>
        <w:jc w:val="left"/>
        <w:rPr>
          <w:kern w:val="0"/>
          <w:szCs w:val="32"/>
        </w:rPr>
      </w:pPr>
    </w:p>
    <w:p>
      <w:pPr>
        <w:shd w:val="clear" w:color="auto" w:fill="FFFFFF"/>
        <w:overflowPunct/>
        <w:adjustRightInd/>
        <w:snapToGrid/>
        <w:spacing w:line="560" w:lineRule="exact"/>
        <w:ind w:firstLine="0" w:firstLineChars="0"/>
        <w:jc w:val="left"/>
        <w:rPr>
          <w:rFonts w:eastAsia="黑体"/>
          <w:szCs w:val="32"/>
          <w:lang w:val="zh-CN"/>
        </w:rPr>
      </w:pPr>
      <w:bookmarkStart w:id="92" w:name="_Toc66375426"/>
      <w:bookmarkStart w:id="93" w:name="_Toc26810"/>
      <w:bookmarkStart w:id="94" w:name="_Toc43917773"/>
      <w:r>
        <w:rPr>
          <w:rFonts w:eastAsia="黑体"/>
          <w:szCs w:val="32"/>
          <w:lang w:val="zh-CN"/>
        </w:rPr>
        <w:t>附件</w:t>
      </w:r>
      <w:r>
        <w:rPr>
          <w:rFonts w:eastAsia="黑体"/>
          <w:szCs w:val="32"/>
        </w:rPr>
        <w:t>三</w:t>
      </w:r>
      <w:r>
        <w:rPr>
          <w:rFonts w:eastAsia="黑体"/>
          <w:szCs w:val="32"/>
          <w:lang w:val="zh-CN"/>
        </w:rPr>
        <w:t>、报价表</w:t>
      </w:r>
      <w:bookmarkEnd w:id="92"/>
      <w:bookmarkEnd w:id="93"/>
      <w:bookmarkEnd w:id="94"/>
    </w:p>
    <w:p>
      <w:pPr>
        <w:overflowPunct/>
        <w:adjustRightInd/>
        <w:snapToGrid/>
        <w:spacing w:line="560" w:lineRule="exact"/>
        <w:ind w:firstLine="0" w:firstLineChars="0"/>
        <w:jc w:val="center"/>
        <w:rPr>
          <w:b/>
          <w:szCs w:val="32"/>
        </w:rPr>
      </w:pPr>
      <w:r>
        <w:rPr>
          <w:b/>
          <w:szCs w:val="32"/>
        </w:rPr>
        <w:t>开标一览表</w:t>
      </w:r>
      <w:bookmarkStart w:id="95" w:name="_Hlk44577819"/>
    </w:p>
    <w:p>
      <w:pPr>
        <w:overflowPunct/>
        <w:adjustRightInd/>
        <w:snapToGrid/>
        <w:spacing w:line="560" w:lineRule="exact"/>
        <w:ind w:firstLine="0" w:firstLineChars="0"/>
        <w:jc w:val="center"/>
        <w:rPr>
          <w:b/>
          <w:szCs w:val="32"/>
        </w:rPr>
      </w:pPr>
    </w:p>
    <w:p>
      <w:pPr>
        <w:overflowPunct/>
        <w:adjustRightInd/>
        <w:snapToGrid/>
        <w:spacing w:line="560" w:lineRule="exact"/>
        <w:ind w:firstLine="0" w:firstLineChars="0"/>
        <w:rPr>
          <w:bCs/>
          <w:sz w:val="30"/>
          <w:szCs w:val="30"/>
        </w:rPr>
      </w:pPr>
      <w:r>
        <w:rPr>
          <w:bCs/>
          <w:sz w:val="30"/>
          <w:szCs w:val="30"/>
        </w:rPr>
        <w:t>项目名称：                             项目编号：</w:t>
      </w:r>
    </w:p>
    <w:tbl>
      <w:tblPr>
        <w:tblStyle w:val="23"/>
        <w:tblW w:w="953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035"/>
        <w:gridCol w:w="4802"/>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8" w:hRule="atLeast"/>
        </w:trPr>
        <w:tc>
          <w:tcPr>
            <w:tcW w:w="2136" w:type="dxa"/>
            <w:vAlign w:val="center"/>
          </w:tcPr>
          <w:p>
            <w:pPr>
              <w:spacing w:line="560" w:lineRule="exact"/>
              <w:ind w:firstLine="0" w:firstLineChars="0"/>
              <w:jc w:val="center"/>
              <w:rPr>
                <w:bCs/>
                <w:sz w:val="30"/>
                <w:szCs w:val="30"/>
              </w:rPr>
            </w:pPr>
            <w:r>
              <w:rPr>
                <w:bCs/>
                <w:sz w:val="30"/>
                <w:szCs w:val="30"/>
              </w:rPr>
              <w:t>投标报价</w:t>
            </w:r>
          </w:p>
        </w:tc>
        <w:tc>
          <w:tcPr>
            <w:tcW w:w="1035" w:type="dxa"/>
            <w:vAlign w:val="center"/>
          </w:tcPr>
          <w:p>
            <w:pPr>
              <w:spacing w:line="560" w:lineRule="exact"/>
              <w:ind w:firstLine="0" w:firstLineChars="0"/>
              <w:rPr>
                <w:bCs/>
                <w:sz w:val="30"/>
                <w:szCs w:val="30"/>
              </w:rPr>
            </w:pPr>
            <w:r>
              <w:rPr>
                <w:bCs/>
                <w:sz w:val="30"/>
                <w:szCs w:val="30"/>
              </w:rPr>
              <w:t>合计</w:t>
            </w:r>
          </w:p>
        </w:tc>
        <w:tc>
          <w:tcPr>
            <w:tcW w:w="4802" w:type="dxa"/>
            <w:vAlign w:val="center"/>
          </w:tcPr>
          <w:p>
            <w:pPr>
              <w:spacing w:line="560" w:lineRule="exact"/>
              <w:ind w:firstLine="0" w:firstLineChars="0"/>
              <w:rPr>
                <w:bCs/>
                <w:sz w:val="30"/>
                <w:szCs w:val="30"/>
              </w:rPr>
            </w:pPr>
            <w:r>
              <w:rPr>
                <w:bCs/>
                <w:sz w:val="30"/>
                <w:szCs w:val="30"/>
              </w:rPr>
              <w:t xml:space="preserve">小写：人民币               万元   </w:t>
            </w:r>
          </w:p>
          <w:p>
            <w:pPr>
              <w:spacing w:line="560" w:lineRule="exact"/>
              <w:ind w:firstLine="600"/>
              <w:rPr>
                <w:bCs/>
                <w:sz w:val="30"/>
                <w:szCs w:val="30"/>
              </w:rPr>
            </w:pPr>
          </w:p>
          <w:p>
            <w:pPr>
              <w:widowControl/>
              <w:shd w:val="clear" w:color="auto" w:fill="FFFFFF"/>
              <w:overflowPunct/>
              <w:adjustRightInd/>
              <w:snapToGrid/>
              <w:spacing w:line="560" w:lineRule="exact"/>
              <w:ind w:firstLine="0" w:firstLineChars="0"/>
              <w:rPr>
                <w:kern w:val="0"/>
                <w:sz w:val="30"/>
                <w:szCs w:val="30"/>
              </w:rPr>
            </w:pPr>
            <w:r>
              <w:rPr>
                <w:bCs/>
                <w:sz w:val="30"/>
                <w:szCs w:val="30"/>
              </w:rPr>
              <w:t xml:space="preserve">大写：人民币                   </w:t>
            </w:r>
          </w:p>
        </w:tc>
        <w:tc>
          <w:tcPr>
            <w:tcW w:w="1565" w:type="dxa"/>
            <w:vAlign w:val="center"/>
          </w:tcPr>
          <w:p>
            <w:pPr>
              <w:spacing w:line="560" w:lineRule="exact"/>
              <w:ind w:firstLine="0" w:firstLineChars="0"/>
              <w:jc w:val="center"/>
              <w:rPr>
                <w:bCs/>
                <w:sz w:val="30"/>
                <w:szCs w:val="30"/>
              </w:rPr>
            </w:pPr>
            <w:r>
              <w:rPr>
                <w:bCs/>
                <w:sz w:val="30"/>
                <w:szCs w:val="30"/>
              </w:rPr>
              <w:t>备注</w:t>
            </w:r>
          </w:p>
          <w:p>
            <w:pPr>
              <w:spacing w:line="560" w:lineRule="exact"/>
              <w:ind w:firstLine="600"/>
              <w:rPr>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136" w:type="dxa"/>
            <w:vAlign w:val="center"/>
          </w:tcPr>
          <w:p>
            <w:pPr>
              <w:spacing w:line="560" w:lineRule="exact"/>
              <w:ind w:firstLine="0" w:firstLineChars="0"/>
              <w:jc w:val="center"/>
              <w:rPr>
                <w:bCs/>
                <w:sz w:val="30"/>
                <w:szCs w:val="30"/>
              </w:rPr>
            </w:pPr>
            <w:r>
              <w:rPr>
                <w:bCs/>
                <w:sz w:val="30"/>
                <w:szCs w:val="30"/>
              </w:rPr>
              <w:t>服务时间/交付使用时间</w:t>
            </w:r>
          </w:p>
        </w:tc>
        <w:tc>
          <w:tcPr>
            <w:tcW w:w="5837" w:type="dxa"/>
            <w:gridSpan w:val="2"/>
            <w:vAlign w:val="center"/>
          </w:tcPr>
          <w:p>
            <w:pPr>
              <w:tabs>
                <w:tab w:val="left" w:pos="3624"/>
              </w:tabs>
              <w:spacing w:line="560" w:lineRule="exact"/>
              <w:ind w:firstLine="675" w:firstLineChars="225"/>
              <w:rPr>
                <w:bCs/>
                <w:sz w:val="30"/>
                <w:szCs w:val="30"/>
                <w:u w:val="single"/>
              </w:rPr>
            </w:pPr>
            <w:r>
              <w:rPr>
                <w:bCs/>
                <w:sz w:val="30"/>
                <w:szCs w:val="30"/>
                <w:u w:val="single"/>
              </w:rPr>
              <w:t>满足招标文件要求</w:t>
            </w:r>
          </w:p>
        </w:tc>
        <w:tc>
          <w:tcPr>
            <w:tcW w:w="1565" w:type="dxa"/>
            <w:vAlign w:val="center"/>
          </w:tcPr>
          <w:p>
            <w:pPr>
              <w:spacing w:line="560" w:lineRule="exact"/>
              <w:ind w:firstLine="675" w:firstLineChars="225"/>
              <w:rPr>
                <w:bCs/>
                <w:sz w:val="30"/>
                <w:szCs w:val="30"/>
              </w:rPr>
            </w:pPr>
          </w:p>
          <w:p>
            <w:pPr>
              <w:spacing w:line="560" w:lineRule="exact"/>
              <w:ind w:firstLine="675" w:firstLineChars="225"/>
              <w:rPr>
                <w:bCs/>
                <w:sz w:val="30"/>
                <w:szCs w:val="30"/>
              </w:rPr>
            </w:pPr>
          </w:p>
        </w:tc>
      </w:tr>
    </w:tbl>
    <w:p>
      <w:pPr>
        <w:widowControl/>
        <w:shd w:val="clear" w:color="auto" w:fill="FFFFFF"/>
        <w:overflowPunct/>
        <w:adjustRightInd/>
        <w:snapToGrid/>
        <w:spacing w:line="560" w:lineRule="exact"/>
        <w:ind w:firstLine="0" w:firstLineChars="0"/>
        <w:jc w:val="left"/>
        <w:rPr>
          <w:kern w:val="0"/>
          <w:sz w:val="30"/>
          <w:szCs w:val="30"/>
        </w:rPr>
      </w:pPr>
    </w:p>
    <w:bookmarkEnd w:id="95"/>
    <w:p>
      <w:pPr>
        <w:widowControl/>
        <w:shd w:val="clear" w:color="auto" w:fill="FFFFFF"/>
        <w:overflowPunct/>
        <w:adjustRightInd/>
        <w:snapToGrid/>
        <w:spacing w:line="560" w:lineRule="exact"/>
        <w:ind w:firstLine="0" w:firstLineChars="0"/>
        <w:jc w:val="left"/>
        <w:rPr>
          <w:kern w:val="0"/>
          <w:sz w:val="30"/>
          <w:szCs w:val="30"/>
          <w:u w:val="single"/>
        </w:rPr>
      </w:pPr>
      <w:r>
        <w:rPr>
          <w:kern w:val="0"/>
          <w:sz w:val="30"/>
          <w:szCs w:val="30"/>
        </w:rPr>
        <w:t>投标人（盖章）：</w:t>
      </w:r>
      <w:r>
        <w:rPr>
          <w:kern w:val="0"/>
          <w:sz w:val="30"/>
          <w:szCs w:val="30"/>
          <w:u w:val="single"/>
        </w:rPr>
        <w:t xml:space="preserve">                 </w:t>
      </w:r>
    </w:p>
    <w:p>
      <w:pPr>
        <w:widowControl/>
        <w:shd w:val="clear" w:color="auto" w:fill="FFFFFF"/>
        <w:overflowPunct/>
        <w:adjustRightInd/>
        <w:snapToGrid/>
        <w:spacing w:line="560" w:lineRule="exact"/>
        <w:ind w:firstLine="0" w:firstLineChars="0"/>
        <w:jc w:val="left"/>
        <w:rPr>
          <w:kern w:val="0"/>
          <w:sz w:val="30"/>
          <w:szCs w:val="30"/>
          <w:u w:val="single"/>
        </w:rPr>
      </w:pPr>
      <w:r>
        <w:rPr>
          <w:kern w:val="0"/>
          <w:sz w:val="30"/>
          <w:szCs w:val="30"/>
        </w:rPr>
        <w:t>委托代理人（签字或签章）：</w:t>
      </w:r>
      <w:r>
        <w:rPr>
          <w:kern w:val="0"/>
          <w:sz w:val="30"/>
          <w:szCs w:val="30"/>
          <w:u w:val="single"/>
        </w:rPr>
        <w:t xml:space="preserve">            </w:t>
      </w:r>
    </w:p>
    <w:p>
      <w:pPr>
        <w:widowControl/>
        <w:shd w:val="clear" w:color="auto" w:fill="FFFFFF"/>
        <w:overflowPunct/>
        <w:adjustRightInd/>
        <w:snapToGrid/>
        <w:spacing w:line="560" w:lineRule="exact"/>
        <w:ind w:firstLine="0" w:firstLineChars="0"/>
        <w:jc w:val="left"/>
        <w:rPr>
          <w:kern w:val="0"/>
          <w:sz w:val="30"/>
          <w:szCs w:val="30"/>
        </w:rPr>
      </w:pPr>
    </w:p>
    <w:p>
      <w:pPr>
        <w:widowControl/>
        <w:shd w:val="clear" w:color="auto" w:fill="FFFFFF"/>
        <w:overflowPunct/>
        <w:adjustRightInd/>
        <w:snapToGrid/>
        <w:spacing w:line="560" w:lineRule="exact"/>
        <w:ind w:firstLine="0" w:firstLineChars="0"/>
        <w:jc w:val="left"/>
        <w:rPr>
          <w:b/>
          <w:bCs/>
          <w:kern w:val="0"/>
          <w:sz w:val="30"/>
          <w:szCs w:val="30"/>
        </w:rPr>
      </w:pPr>
      <w:r>
        <w:rPr>
          <w:b/>
          <w:bCs/>
          <w:kern w:val="0"/>
          <w:sz w:val="30"/>
          <w:szCs w:val="30"/>
        </w:rPr>
        <w:t>说明：</w:t>
      </w:r>
    </w:p>
    <w:p>
      <w:pPr>
        <w:widowControl/>
        <w:shd w:val="clear" w:color="auto" w:fill="FFFFFF"/>
        <w:overflowPunct/>
        <w:adjustRightInd/>
        <w:snapToGrid/>
        <w:spacing w:line="560" w:lineRule="exact"/>
        <w:ind w:firstLineChars="0"/>
        <w:jc w:val="left"/>
        <w:rPr>
          <w:b/>
          <w:sz w:val="30"/>
          <w:szCs w:val="30"/>
        </w:rPr>
      </w:pPr>
      <w:r>
        <w:rPr>
          <w:b/>
          <w:sz w:val="30"/>
          <w:szCs w:val="30"/>
        </w:rPr>
        <w:t>《开标一览表》一式两份，一份装订在投标文件中，一份用封套单独加以密封，并在封套上注明“开标一览表”字样，随投标文件一并递交，以便唱标时使用。</w:t>
      </w:r>
      <w:bookmarkStart w:id="96" w:name="_Toc12264"/>
    </w:p>
    <w:p>
      <w:pPr>
        <w:overflowPunct/>
        <w:adjustRightInd/>
        <w:snapToGrid/>
        <w:spacing w:line="560" w:lineRule="exact"/>
        <w:ind w:firstLine="0" w:firstLineChars="0"/>
        <w:rPr>
          <w:szCs w:val="32"/>
        </w:rPr>
      </w:pPr>
      <w:bookmarkStart w:id="97" w:name="_Toc66375427"/>
      <w:bookmarkStart w:id="98" w:name="_Toc43917774"/>
      <w:r>
        <w:rPr>
          <w:szCs w:val="32"/>
          <w:lang w:val="zh-CN"/>
        </w:rPr>
        <w:br w:type="page"/>
      </w:r>
    </w:p>
    <w:p>
      <w:pPr>
        <w:keepNext/>
        <w:keepLines/>
        <w:numPr>
          <w:ilvl w:val="1"/>
          <w:numId w:val="0"/>
        </w:numPr>
        <w:spacing w:before="260" w:after="260" w:line="560" w:lineRule="exact"/>
        <w:ind w:firstLine="640" w:firstLineChars="200"/>
        <w:jc w:val="left"/>
        <w:outlineLvl w:val="1"/>
        <w:rPr>
          <w:rFonts w:eastAsia="黑体"/>
          <w:szCs w:val="32"/>
        </w:rPr>
      </w:pPr>
      <w:r>
        <w:rPr>
          <w:rFonts w:eastAsia="黑体"/>
          <w:szCs w:val="32"/>
          <w:lang w:val="zh-CN"/>
        </w:rPr>
        <w:t>附件</w:t>
      </w:r>
      <w:r>
        <w:rPr>
          <w:rFonts w:eastAsia="黑体"/>
          <w:szCs w:val="32"/>
        </w:rPr>
        <w:t>四</w:t>
      </w:r>
      <w:r>
        <w:rPr>
          <w:rFonts w:eastAsia="黑体"/>
          <w:szCs w:val="32"/>
          <w:lang w:val="zh-CN"/>
        </w:rPr>
        <w:t>、分项报价表格式</w:t>
      </w:r>
      <w:bookmarkEnd w:id="96"/>
      <w:bookmarkEnd w:id="97"/>
      <w:bookmarkEnd w:id="98"/>
    </w:p>
    <w:p>
      <w:pPr>
        <w:overflowPunct/>
        <w:adjustRightInd/>
        <w:snapToGrid/>
        <w:spacing w:line="560" w:lineRule="exact"/>
        <w:ind w:firstLine="0" w:firstLineChars="0"/>
        <w:rPr>
          <w:szCs w:val="32"/>
          <w:lang w:val="zh-CN"/>
        </w:rPr>
      </w:pPr>
    </w:p>
    <w:p>
      <w:pPr>
        <w:shd w:val="clear" w:color="auto" w:fill="FFFFFF"/>
        <w:overflowPunct/>
        <w:adjustRightInd/>
        <w:snapToGrid/>
        <w:spacing w:line="560" w:lineRule="exact"/>
        <w:ind w:firstLine="0" w:firstLineChars="0"/>
        <w:jc w:val="center"/>
        <w:rPr>
          <w:b/>
          <w:kern w:val="0"/>
          <w:sz w:val="30"/>
          <w:szCs w:val="30"/>
        </w:rPr>
      </w:pPr>
      <w:r>
        <w:rPr>
          <w:b/>
          <w:kern w:val="0"/>
          <w:sz w:val="30"/>
          <w:szCs w:val="30"/>
        </w:rPr>
        <w:t>分项报价表</w:t>
      </w:r>
    </w:p>
    <w:p>
      <w:pPr>
        <w:spacing w:line="560" w:lineRule="exact"/>
        <w:ind w:firstLine="643"/>
        <w:rPr>
          <w:b/>
          <w:szCs w:val="32"/>
        </w:rPr>
      </w:pPr>
    </w:p>
    <w:p>
      <w:pPr>
        <w:tabs>
          <w:tab w:val="left" w:pos="5397"/>
        </w:tabs>
        <w:overflowPunct/>
        <w:adjustRightInd/>
        <w:snapToGrid/>
        <w:spacing w:line="560" w:lineRule="exact"/>
        <w:ind w:firstLineChars="140"/>
        <w:jc w:val="left"/>
        <w:rPr>
          <w:kern w:val="0"/>
          <w:sz w:val="30"/>
          <w:szCs w:val="30"/>
        </w:rPr>
      </w:pPr>
      <w:r>
        <w:rPr>
          <w:kern w:val="0"/>
          <w:sz w:val="30"/>
          <w:szCs w:val="30"/>
        </w:rPr>
        <w:t>项目名称：</w:t>
      </w:r>
      <w:r>
        <w:rPr>
          <w:kern w:val="0"/>
          <w:sz w:val="30"/>
          <w:szCs w:val="30"/>
        </w:rPr>
        <w:tab/>
      </w:r>
      <w:r>
        <w:rPr>
          <w:kern w:val="0"/>
          <w:sz w:val="30"/>
          <w:szCs w:val="30"/>
        </w:rPr>
        <w:t>项目编号：</w:t>
      </w:r>
    </w:p>
    <w:p>
      <w:pPr>
        <w:shd w:val="clear" w:color="auto" w:fill="FFFFFF"/>
        <w:overflowPunct/>
        <w:adjustRightInd/>
        <w:snapToGrid/>
        <w:spacing w:line="560" w:lineRule="exact"/>
        <w:ind w:firstLineChars="0"/>
        <w:rPr>
          <w:b/>
          <w:bCs/>
          <w:sz w:val="30"/>
          <w:szCs w:val="30"/>
        </w:rPr>
      </w:pPr>
    </w:p>
    <w:p>
      <w:pPr>
        <w:shd w:val="clear" w:color="auto" w:fill="FFFFFF"/>
        <w:overflowPunct/>
        <w:adjustRightInd/>
        <w:snapToGrid/>
        <w:spacing w:line="560" w:lineRule="exact"/>
        <w:ind w:firstLine="602"/>
        <w:rPr>
          <w:b/>
          <w:bCs/>
          <w:sz w:val="30"/>
          <w:szCs w:val="30"/>
        </w:rPr>
      </w:pPr>
      <w:r>
        <w:rPr>
          <w:b/>
          <w:bCs/>
          <w:sz w:val="30"/>
          <w:szCs w:val="30"/>
        </w:rPr>
        <w:t>注：</w:t>
      </w:r>
      <w:r>
        <w:rPr>
          <w:b/>
          <w:bCs/>
          <w:kern w:val="0"/>
          <w:sz w:val="30"/>
          <w:szCs w:val="30"/>
        </w:rPr>
        <w:t>上表中的总价=单价*预估用量。投标人的报价包含了为采购人配送主副食品原料和定点加工服务的成本费、人工费、运输费及税金等一切费用。</w:t>
      </w:r>
    </w:p>
    <w:p>
      <w:pPr>
        <w:spacing w:line="560" w:lineRule="exact"/>
        <w:ind w:firstLine="602"/>
        <w:rPr>
          <w:b/>
          <w:kern w:val="0"/>
          <w:sz w:val="30"/>
          <w:szCs w:val="30"/>
        </w:rPr>
      </w:pPr>
      <w:r>
        <w:rPr>
          <w:b/>
          <w:kern w:val="0"/>
          <w:sz w:val="30"/>
          <w:szCs w:val="30"/>
        </w:rPr>
        <w:tab/>
      </w:r>
    </w:p>
    <w:p>
      <w:pPr>
        <w:shd w:val="clear" w:color="auto" w:fill="FFFFFF"/>
        <w:overflowPunct/>
        <w:adjustRightInd/>
        <w:snapToGrid/>
        <w:spacing w:line="560" w:lineRule="exact"/>
        <w:ind w:firstLine="300" w:firstLineChars="100"/>
        <w:jc w:val="left"/>
        <w:rPr>
          <w:kern w:val="0"/>
          <w:sz w:val="30"/>
          <w:szCs w:val="30"/>
        </w:rPr>
      </w:pPr>
      <w:r>
        <w:rPr>
          <w:kern w:val="0"/>
          <w:sz w:val="30"/>
          <w:szCs w:val="30"/>
        </w:rPr>
        <w:t>投标人（盖章）：</w:t>
      </w:r>
      <w:r>
        <w:rPr>
          <w:kern w:val="0"/>
          <w:sz w:val="30"/>
          <w:szCs w:val="30"/>
          <w:u w:val="single"/>
        </w:rPr>
        <w:t xml:space="preserve">      </w:t>
      </w:r>
      <w:r>
        <w:rPr>
          <w:rFonts w:hint="eastAsia"/>
          <w:kern w:val="0"/>
          <w:sz w:val="30"/>
          <w:szCs w:val="30"/>
          <w:u w:val="single"/>
        </w:rPr>
        <w:t xml:space="preserve">    </w:t>
      </w:r>
    </w:p>
    <w:p>
      <w:pPr>
        <w:shd w:val="clear" w:color="auto" w:fill="FFFFFF"/>
        <w:overflowPunct/>
        <w:adjustRightInd/>
        <w:snapToGrid/>
        <w:spacing w:line="560" w:lineRule="exact"/>
        <w:ind w:firstLine="0" w:firstLineChars="0"/>
        <w:jc w:val="left"/>
        <w:rPr>
          <w:kern w:val="0"/>
          <w:sz w:val="30"/>
          <w:szCs w:val="30"/>
        </w:rPr>
      </w:pPr>
      <w:r>
        <w:rPr>
          <w:kern w:val="0"/>
          <w:sz w:val="30"/>
          <w:szCs w:val="30"/>
        </w:rPr>
        <w:t xml:space="preserve">  委托代理人（签字或签章）：</w:t>
      </w:r>
      <w:r>
        <w:rPr>
          <w:kern w:val="0"/>
          <w:sz w:val="30"/>
          <w:szCs w:val="30"/>
          <w:u w:val="single"/>
        </w:rPr>
        <w:t xml:space="preserve">      </w:t>
      </w:r>
      <w:r>
        <w:rPr>
          <w:rFonts w:hint="eastAsia" w:eastAsia="宋体"/>
          <w:kern w:val="0"/>
          <w:sz w:val="30"/>
          <w:szCs w:val="30"/>
          <w:u w:val="single"/>
        </w:rPr>
        <w:t xml:space="preserve">    </w:t>
      </w:r>
    </w:p>
    <w:p>
      <w:pPr>
        <w:shd w:val="clear" w:color="auto" w:fill="FFFFFF"/>
        <w:overflowPunct/>
        <w:adjustRightInd/>
        <w:snapToGrid/>
        <w:spacing w:line="560" w:lineRule="exact"/>
        <w:ind w:firstLine="0" w:firstLineChars="0"/>
        <w:jc w:val="left"/>
        <w:rPr>
          <w:kern w:val="0"/>
          <w:szCs w:val="32"/>
        </w:rPr>
      </w:pPr>
      <w:r>
        <w:rPr>
          <w:kern w:val="0"/>
          <w:szCs w:val="32"/>
        </w:rPr>
        <w:br w:type="page"/>
      </w:r>
    </w:p>
    <w:p>
      <w:pPr>
        <w:keepNext/>
        <w:keepLines/>
        <w:numPr>
          <w:ilvl w:val="1"/>
          <w:numId w:val="0"/>
        </w:numPr>
        <w:spacing w:before="260" w:after="260" w:line="560" w:lineRule="exact"/>
        <w:outlineLvl w:val="1"/>
        <w:rPr>
          <w:rFonts w:eastAsia="黑体"/>
          <w:szCs w:val="32"/>
        </w:rPr>
      </w:pPr>
      <w:bookmarkStart w:id="99" w:name="_Toc43917775"/>
      <w:bookmarkStart w:id="100" w:name="_Toc66375428"/>
      <w:r>
        <w:rPr>
          <w:rFonts w:eastAsia="黑体"/>
          <w:szCs w:val="32"/>
        </w:rPr>
        <w:t>附件五、技术规格偏离表格式</w:t>
      </w:r>
      <w:bookmarkEnd w:id="99"/>
      <w:bookmarkEnd w:id="100"/>
    </w:p>
    <w:p>
      <w:pPr>
        <w:shd w:val="clear" w:color="auto" w:fill="FFFFFF"/>
        <w:overflowPunct/>
        <w:adjustRightInd/>
        <w:snapToGrid/>
        <w:spacing w:line="560" w:lineRule="exact"/>
        <w:ind w:left="435" w:firstLine="0" w:firstLineChars="0"/>
        <w:jc w:val="left"/>
        <w:rPr>
          <w:kern w:val="0"/>
          <w:szCs w:val="32"/>
        </w:rPr>
      </w:pPr>
      <w:r>
        <w:rPr>
          <w:kern w:val="0"/>
          <w:szCs w:val="32"/>
        </w:rPr>
        <w:t> </w:t>
      </w:r>
    </w:p>
    <w:p>
      <w:pPr>
        <w:shd w:val="clear" w:color="auto" w:fill="FFFFFF"/>
        <w:overflowPunct/>
        <w:adjustRightInd/>
        <w:snapToGrid/>
        <w:spacing w:line="560" w:lineRule="exact"/>
        <w:ind w:left="420" w:firstLine="0" w:firstLineChars="0"/>
        <w:jc w:val="center"/>
        <w:rPr>
          <w:b/>
          <w:kern w:val="0"/>
          <w:sz w:val="30"/>
          <w:szCs w:val="30"/>
        </w:rPr>
      </w:pPr>
      <w:r>
        <w:rPr>
          <w:b/>
          <w:kern w:val="0"/>
          <w:sz w:val="30"/>
          <w:szCs w:val="30"/>
        </w:rPr>
        <w:t>技术条款偏离表</w:t>
      </w:r>
    </w:p>
    <w:p>
      <w:pPr>
        <w:shd w:val="clear" w:color="auto" w:fill="FFFFFF"/>
        <w:overflowPunct/>
        <w:adjustRightInd/>
        <w:snapToGrid/>
        <w:spacing w:line="560" w:lineRule="exact"/>
        <w:ind w:firstLine="0" w:firstLineChars="0"/>
        <w:jc w:val="left"/>
        <w:rPr>
          <w:kern w:val="0"/>
          <w:szCs w:val="32"/>
        </w:rPr>
      </w:pPr>
    </w:p>
    <w:p>
      <w:pPr>
        <w:tabs>
          <w:tab w:val="left" w:pos="5397"/>
        </w:tabs>
        <w:overflowPunct/>
        <w:adjustRightInd/>
        <w:snapToGrid/>
        <w:spacing w:line="560" w:lineRule="exact"/>
        <w:ind w:firstLineChars="140"/>
        <w:jc w:val="left"/>
        <w:rPr>
          <w:kern w:val="0"/>
          <w:sz w:val="30"/>
          <w:szCs w:val="30"/>
        </w:rPr>
      </w:pPr>
      <w:r>
        <w:rPr>
          <w:kern w:val="0"/>
          <w:sz w:val="30"/>
          <w:szCs w:val="30"/>
        </w:rPr>
        <w:t>项目名称：</w:t>
      </w:r>
      <w:r>
        <w:rPr>
          <w:kern w:val="0"/>
          <w:sz w:val="30"/>
          <w:szCs w:val="30"/>
        </w:rPr>
        <w:tab/>
      </w:r>
      <w:r>
        <w:rPr>
          <w:kern w:val="0"/>
          <w:sz w:val="30"/>
          <w:szCs w:val="30"/>
        </w:rPr>
        <w:t>项目编号：</w:t>
      </w:r>
    </w:p>
    <w:tbl>
      <w:tblPr>
        <w:tblStyle w:val="23"/>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bookmarkStart w:id="101" w:name="_Hlk66784099"/>
            <w:r>
              <w:rPr>
                <w:b/>
                <w:kern w:val="0"/>
                <w:sz w:val="30"/>
                <w:szCs w:val="30"/>
              </w:rPr>
              <w:t>序号</w:t>
            </w: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r>
              <w:rPr>
                <w:b/>
                <w:kern w:val="0"/>
                <w:sz w:val="30"/>
                <w:szCs w:val="30"/>
              </w:rPr>
              <w:t>招标文件要求的技术条款</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r>
              <w:rPr>
                <w:b/>
                <w:kern w:val="0"/>
                <w:sz w:val="30"/>
                <w:szCs w:val="30"/>
              </w:rPr>
              <w:t>投标响应</w:t>
            </w: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r>
              <w:rPr>
                <w:b/>
                <w:kern w:val="0"/>
                <w:sz w:val="30"/>
                <w:szCs w:val="3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5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9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bookmarkEnd w:id="101"/>
    </w:tbl>
    <w:p>
      <w:pPr>
        <w:tabs>
          <w:tab w:val="left" w:pos="5397"/>
        </w:tabs>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300" w:firstLineChars="100"/>
        <w:jc w:val="left"/>
        <w:rPr>
          <w:kern w:val="0"/>
          <w:sz w:val="30"/>
          <w:szCs w:val="30"/>
        </w:rPr>
      </w:pPr>
      <w:r>
        <w:rPr>
          <w:kern w:val="0"/>
          <w:sz w:val="30"/>
          <w:szCs w:val="30"/>
        </w:rPr>
        <w:t>说明：如果行数不够，请自行增加。</w:t>
      </w: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300" w:firstLineChars="100"/>
        <w:jc w:val="left"/>
        <w:rPr>
          <w:kern w:val="0"/>
          <w:sz w:val="30"/>
          <w:szCs w:val="30"/>
        </w:rPr>
      </w:pPr>
      <w:r>
        <w:rPr>
          <w:kern w:val="0"/>
          <w:sz w:val="30"/>
          <w:szCs w:val="30"/>
        </w:rPr>
        <w:t>投标人（盖章）：</w:t>
      </w:r>
      <w:r>
        <w:rPr>
          <w:kern w:val="0"/>
          <w:sz w:val="30"/>
          <w:szCs w:val="30"/>
          <w:u w:val="single"/>
        </w:rPr>
        <w:t xml:space="preserve">         </w:t>
      </w:r>
    </w:p>
    <w:p>
      <w:pPr>
        <w:shd w:val="clear" w:color="auto" w:fill="FFFFFF"/>
        <w:overflowPunct/>
        <w:adjustRightInd/>
        <w:snapToGrid/>
        <w:spacing w:line="560" w:lineRule="exact"/>
        <w:ind w:firstLine="300" w:firstLineChars="100"/>
        <w:jc w:val="left"/>
        <w:rPr>
          <w:kern w:val="0"/>
          <w:sz w:val="30"/>
          <w:szCs w:val="30"/>
        </w:rPr>
      </w:pPr>
      <w:r>
        <w:rPr>
          <w:kern w:val="0"/>
          <w:sz w:val="30"/>
          <w:szCs w:val="30"/>
        </w:rPr>
        <w:t>委托代理人（签字或签章）：</w:t>
      </w:r>
      <w:r>
        <w:rPr>
          <w:kern w:val="0"/>
          <w:sz w:val="30"/>
          <w:szCs w:val="30"/>
          <w:u w:val="single"/>
        </w:rPr>
        <w:t xml:space="preserve">         </w:t>
      </w:r>
    </w:p>
    <w:p>
      <w:pPr>
        <w:shd w:val="clear" w:color="auto" w:fill="FFFFFF"/>
        <w:overflowPunct/>
        <w:adjustRightInd/>
        <w:snapToGrid/>
        <w:spacing w:line="560" w:lineRule="exact"/>
        <w:ind w:firstLine="300" w:firstLineChars="10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Cs w:val="32"/>
        </w:rPr>
      </w:pPr>
      <w:r>
        <w:rPr>
          <w:kern w:val="0"/>
          <w:szCs w:val="32"/>
        </w:rPr>
        <w:t> </w:t>
      </w:r>
    </w:p>
    <w:p>
      <w:pPr>
        <w:shd w:val="clear" w:color="auto" w:fill="FFFFFF"/>
        <w:overflowPunct/>
        <w:adjustRightInd/>
        <w:snapToGrid/>
        <w:spacing w:line="560" w:lineRule="exact"/>
        <w:ind w:firstLine="0" w:firstLineChars="0"/>
        <w:jc w:val="left"/>
        <w:rPr>
          <w:szCs w:val="32"/>
        </w:rPr>
      </w:pPr>
      <w:r>
        <w:rPr>
          <w:kern w:val="0"/>
          <w:szCs w:val="32"/>
        </w:rPr>
        <w:t> </w:t>
      </w:r>
      <w:bookmarkStart w:id="102" w:name="_Toc66375429"/>
      <w:bookmarkStart w:id="103" w:name="_Toc43917776"/>
      <w:r>
        <w:rPr>
          <w:rFonts w:eastAsia="黑体"/>
          <w:szCs w:val="32"/>
        </w:rPr>
        <w:t>附件六、商务条款偏离表格式</w:t>
      </w:r>
      <w:bookmarkEnd w:id="102"/>
      <w:bookmarkEnd w:id="103"/>
    </w:p>
    <w:p>
      <w:pPr>
        <w:shd w:val="clear" w:color="auto" w:fill="FFFFFF"/>
        <w:overflowPunct/>
        <w:adjustRightInd/>
        <w:snapToGrid/>
        <w:spacing w:line="560" w:lineRule="exact"/>
        <w:ind w:firstLineChars="0"/>
        <w:jc w:val="left"/>
        <w:rPr>
          <w:kern w:val="0"/>
          <w:szCs w:val="32"/>
        </w:rPr>
      </w:pPr>
      <w:r>
        <w:rPr>
          <w:kern w:val="0"/>
          <w:szCs w:val="32"/>
        </w:rPr>
        <w:t> </w:t>
      </w:r>
    </w:p>
    <w:p>
      <w:pPr>
        <w:shd w:val="clear" w:color="auto" w:fill="FFFFFF"/>
        <w:overflowPunct/>
        <w:adjustRightInd/>
        <w:snapToGrid/>
        <w:spacing w:line="560" w:lineRule="exact"/>
        <w:ind w:left="420" w:firstLine="0" w:firstLineChars="0"/>
        <w:jc w:val="center"/>
        <w:rPr>
          <w:b/>
          <w:kern w:val="0"/>
          <w:sz w:val="30"/>
          <w:szCs w:val="30"/>
        </w:rPr>
      </w:pPr>
      <w:r>
        <w:rPr>
          <w:b/>
          <w:kern w:val="0"/>
          <w:sz w:val="30"/>
          <w:szCs w:val="30"/>
        </w:rPr>
        <w:t>商务条款偏离表</w:t>
      </w:r>
    </w:p>
    <w:p>
      <w:pPr>
        <w:shd w:val="clear" w:color="auto" w:fill="FFFFFF"/>
        <w:overflowPunct/>
        <w:adjustRightInd/>
        <w:snapToGrid/>
        <w:spacing w:line="560" w:lineRule="exact"/>
        <w:ind w:firstLine="0" w:firstLineChars="0"/>
        <w:jc w:val="left"/>
        <w:rPr>
          <w:kern w:val="0"/>
          <w:szCs w:val="32"/>
        </w:rPr>
      </w:pPr>
      <w:r>
        <w:rPr>
          <w:kern w:val="0"/>
          <w:szCs w:val="32"/>
        </w:rPr>
        <w:t> </w:t>
      </w:r>
    </w:p>
    <w:p>
      <w:pPr>
        <w:tabs>
          <w:tab w:val="left" w:pos="5366"/>
        </w:tabs>
        <w:overflowPunct/>
        <w:adjustRightInd/>
        <w:snapToGrid/>
        <w:spacing w:line="560" w:lineRule="exact"/>
        <w:ind w:firstLine="438" w:firstLineChars="146"/>
        <w:jc w:val="left"/>
        <w:rPr>
          <w:kern w:val="0"/>
          <w:sz w:val="30"/>
          <w:szCs w:val="30"/>
        </w:rPr>
      </w:pPr>
      <w:r>
        <w:rPr>
          <w:kern w:val="0"/>
          <w:sz w:val="30"/>
          <w:szCs w:val="30"/>
        </w:rPr>
        <w:t>项目名称：</w:t>
      </w:r>
      <w:r>
        <w:rPr>
          <w:kern w:val="0"/>
          <w:sz w:val="30"/>
          <w:szCs w:val="30"/>
        </w:rPr>
        <w:tab/>
      </w:r>
      <w:r>
        <w:rPr>
          <w:kern w:val="0"/>
          <w:sz w:val="30"/>
          <w:szCs w:val="30"/>
        </w:rPr>
        <w:t>项目编号：         </w:t>
      </w:r>
    </w:p>
    <w:tbl>
      <w:tblPr>
        <w:tblStyle w:val="23"/>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bookmarkStart w:id="104" w:name="_Hlk66784541"/>
            <w:r>
              <w:rPr>
                <w:b/>
                <w:kern w:val="0"/>
                <w:sz w:val="30"/>
                <w:szCs w:val="30"/>
              </w:rPr>
              <w:t>序号</w:t>
            </w: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r>
              <w:rPr>
                <w:b/>
                <w:kern w:val="0"/>
                <w:sz w:val="30"/>
                <w:szCs w:val="30"/>
              </w:rPr>
              <w:t>招标文件要求的商务条款</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r>
              <w:rPr>
                <w:b/>
                <w:kern w:val="0"/>
                <w:sz w:val="30"/>
                <w:szCs w:val="30"/>
              </w:rPr>
              <w:t>投标响应</w:t>
            </w: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b/>
                <w:kern w:val="0"/>
                <w:sz w:val="30"/>
                <w:szCs w:val="30"/>
              </w:rPr>
            </w:pPr>
            <w:r>
              <w:rPr>
                <w:b/>
                <w:kern w:val="0"/>
                <w:sz w:val="30"/>
                <w:szCs w:val="3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r>
              <w:rPr>
                <w:kern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3649"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2021"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c>
          <w:tcPr>
            <w:tcW w:w="1843" w:type="dxa"/>
            <w:tcMar>
              <w:top w:w="0" w:type="dxa"/>
              <w:left w:w="10" w:type="dxa"/>
              <w:bottom w:w="0" w:type="dxa"/>
              <w:right w:w="10" w:type="dxa"/>
            </w:tcMar>
            <w:vAlign w:val="center"/>
          </w:tcPr>
          <w:p>
            <w:pPr>
              <w:overflowPunct/>
              <w:adjustRightInd/>
              <w:snapToGrid/>
              <w:spacing w:line="560" w:lineRule="exact"/>
              <w:ind w:firstLine="0" w:firstLineChars="0"/>
              <w:jc w:val="center"/>
              <w:rPr>
                <w:kern w:val="0"/>
                <w:sz w:val="30"/>
                <w:szCs w:val="30"/>
              </w:rPr>
            </w:pPr>
          </w:p>
        </w:tc>
      </w:tr>
      <w:bookmarkEnd w:id="104"/>
    </w:tbl>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300" w:firstLineChars="100"/>
        <w:jc w:val="left"/>
        <w:rPr>
          <w:kern w:val="0"/>
          <w:sz w:val="30"/>
          <w:szCs w:val="30"/>
        </w:rPr>
      </w:pPr>
      <w:r>
        <w:rPr>
          <w:kern w:val="0"/>
          <w:sz w:val="30"/>
          <w:szCs w:val="30"/>
        </w:rPr>
        <w:t>说明：如果行数不够，请自行增加。</w:t>
      </w: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300" w:firstLineChars="100"/>
        <w:jc w:val="left"/>
        <w:rPr>
          <w:kern w:val="0"/>
          <w:sz w:val="30"/>
          <w:szCs w:val="30"/>
        </w:rPr>
      </w:pPr>
      <w:r>
        <w:rPr>
          <w:kern w:val="0"/>
          <w:sz w:val="30"/>
          <w:szCs w:val="30"/>
        </w:rPr>
        <w:t>投标人（盖章）：</w:t>
      </w:r>
      <w:r>
        <w:rPr>
          <w:kern w:val="0"/>
          <w:sz w:val="30"/>
          <w:szCs w:val="30"/>
          <w:u w:val="single"/>
        </w:rPr>
        <w:t xml:space="preserve">         </w:t>
      </w:r>
    </w:p>
    <w:p>
      <w:pPr>
        <w:shd w:val="clear" w:color="auto" w:fill="FFFFFF"/>
        <w:overflowPunct/>
        <w:adjustRightInd/>
        <w:snapToGrid/>
        <w:spacing w:line="560" w:lineRule="exact"/>
        <w:ind w:firstLine="300" w:firstLineChars="100"/>
        <w:jc w:val="left"/>
        <w:rPr>
          <w:kern w:val="0"/>
          <w:sz w:val="30"/>
          <w:szCs w:val="30"/>
          <w:u w:val="single"/>
        </w:rPr>
      </w:pPr>
      <w:r>
        <w:rPr>
          <w:kern w:val="0"/>
          <w:sz w:val="30"/>
          <w:szCs w:val="30"/>
        </w:rPr>
        <w:t>委托代理人（签字或签章）：</w:t>
      </w:r>
      <w:r>
        <w:rPr>
          <w:kern w:val="0"/>
          <w:sz w:val="30"/>
          <w:szCs w:val="30"/>
          <w:u w:val="single"/>
        </w:rPr>
        <w:t xml:space="preserve">         </w:t>
      </w: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r>
        <w:rPr>
          <w:kern w:val="0"/>
          <w:sz w:val="30"/>
          <w:szCs w:val="30"/>
        </w:rPr>
        <w:t> </w:t>
      </w:r>
    </w:p>
    <w:p>
      <w:pPr>
        <w:shd w:val="clear" w:color="auto" w:fill="FFFFFF"/>
        <w:overflowPunct/>
        <w:adjustRightInd/>
        <w:snapToGrid/>
        <w:spacing w:line="560" w:lineRule="exact"/>
        <w:ind w:firstLine="0" w:firstLineChars="0"/>
        <w:jc w:val="left"/>
        <w:rPr>
          <w:rFonts w:eastAsia="黑体"/>
          <w:szCs w:val="32"/>
          <w:lang w:val="zh-CN"/>
        </w:rPr>
      </w:pPr>
      <w:r>
        <w:rPr>
          <w:rFonts w:eastAsia="黑体"/>
          <w:kern w:val="0"/>
          <w:szCs w:val="32"/>
        </w:rPr>
        <w:t> </w:t>
      </w:r>
      <w:r>
        <w:rPr>
          <w:rFonts w:eastAsia="黑体"/>
          <w:szCs w:val="32"/>
        </w:rPr>
        <w:t>附件七、</w:t>
      </w:r>
      <w:r>
        <w:rPr>
          <w:rFonts w:eastAsia="黑体"/>
          <w:szCs w:val="32"/>
          <w:lang w:val="zh-CN"/>
        </w:rPr>
        <w:t>服务方案</w:t>
      </w:r>
    </w:p>
    <w:p>
      <w:pPr>
        <w:shd w:val="clear" w:color="auto" w:fill="FFFFFF"/>
        <w:overflowPunct/>
        <w:adjustRightInd/>
        <w:snapToGrid/>
        <w:spacing w:line="560" w:lineRule="exact"/>
        <w:ind w:firstLine="0" w:firstLineChars="0"/>
        <w:jc w:val="left"/>
        <w:rPr>
          <w:b/>
          <w:bCs/>
          <w:szCs w:val="32"/>
          <w:lang w:val="zh-CN"/>
        </w:rPr>
      </w:pPr>
    </w:p>
    <w:p>
      <w:pPr>
        <w:spacing w:line="560" w:lineRule="exact"/>
        <w:ind w:firstLine="600"/>
        <w:jc w:val="left"/>
        <w:textAlignment w:val="baseline"/>
        <w:rPr>
          <w:sz w:val="30"/>
          <w:szCs w:val="30"/>
        </w:rPr>
      </w:pPr>
      <w:r>
        <w:rPr>
          <w:sz w:val="30"/>
          <w:szCs w:val="30"/>
        </w:rPr>
        <w:t>服务方案自拟，应根据采购人对项目的要求、招标文件技术部分、评标标准的要求及项目本身的特点编写。</w:t>
      </w:r>
    </w:p>
    <w:p>
      <w:pPr>
        <w:spacing w:line="560" w:lineRule="exact"/>
        <w:ind w:firstLine="640"/>
        <w:jc w:val="left"/>
        <w:textAlignment w:val="baseline"/>
        <w:rPr>
          <w:szCs w:val="32"/>
        </w:rPr>
      </w:pPr>
    </w:p>
    <w:p>
      <w:pPr>
        <w:shd w:val="clear" w:color="auto" w:fill="FFFFFF"/>
        <w:overflowPunct/>
        <w:adjustRightInd/>
        <w:snapToGrid/>
        <w:spacing w:line="560" w:lineRule="exact"/>
        <w:ind w:firstLine="0" w:firstLineChars="0"/>
        <w:jc w:val="left"/>
        <w:rPr>
          <w:kern w:val="0"/>
          <w:szCs w:val="32"/>
        </w:rPr>
      </w:pPr>
    </w:p>
    <w:p>
      <w:pPr>
        <w:shd w:val="clear" w:color="auto" w:fill="FFFFFF"/>
        <w:overflowPunct/>
        <w:adjustRightInd/>
        <w:snapToGrid/>
        <w:spacing w:line="560" w:lineRule="exact"/>
        <w:ind w:firstLine="0" w:firstLineChars="0"/>
        <w:jc w:val="left"/>
        <w:rPr>
          <w:kern w:val="0"/>
          <w:szCs w:val="32"/>
        </w:rPr>
      </w:pPr>
    </w:p>
    <w:p>
      <w:pPr>
        <w:shd w:val="clear" w:color="auto" w:fill="FFFFFF"/>
        <w:overflowPunct/>
        <w:adjustRightInd/>
        <w:snapToGrid/>
        <w:spacing w:line="560" w:lineRule="exact"/>
        <w:ind w:firstLine="0" w:firstLineChars="0"/>
        <w:jc w:val="left"/>
        <w:rPr>
          <w:b/>
          <w:bCs/>
          <w:kern w:val="0"/>
          <w:szCs w:val="32"/>
        </w:rPr>
      </w:pPr>
      <w:r>
        <w:rPr>
          <w:b/>
          <w:bCs/>
          <w:kern w:val="0"/>
          <w:szCs w:val="32"/>
        </w:rPr>
        <w:t> </w:t>
      </w:r>
    </w:p>
    <w:p>
      <w:pPr>
        <w:shd w:val="clear" w:color="auto" w:fill="FFFFFF"/>
        <w:overflowPunct/>
        <w:adjustRightInd/>
        <w:snapToGrid/>
        <w:spacing w:line="560" w:lineRule="exact"/>
        <w:ind w:firstLine="0" w:firstLineChars="0"/>
        <w:jc w:val="left"/>
        <w:rPr>
          <w:b/>
          <w:bCs/>
          <w:kern w:val="0"/>
          <w:szCs w:val="32"/>
        </w:rPr>
      </w:pPr>
      <w:r>
        <w:rPr>
          <w:b/>
          <w:bCs/>
          <w:kern w:val="0"/>
          <w:szCs w:val="32"/>
        </w:rPr>
        <w:br w:type="page"/>
      </w:r>
    </w:p>
    <w:p>
      <w:pPr>
        <w:keepNext/>
        <w:keepLines/>
        <w:numPr>
          <w:ilvl w:val="1"/>
          <w:numId w:val="0"/>
        </w:numPr>
        <w:spacing w:before="260" w:after="260" w:line="560" w:lineRule="exact"/>
        <w:outlineLvl w:val="1"/>
        <w:rPr>
          <w:b/>
          <w:bCs/>
          <w:kern w:val="0"/>
          <w:szCs w:val="32"/>
        </w:rPr>
      </w:pPr>
      <w:bookmarkStart w:id="105" w:name="_Toc66375431"/>
      <w:bookmarkStart w:id="106" w:name="_Toc43917778"/>
      <w:r>
        <w:rPr>
          <w:rFonts w:eastAsia="黑体"/>
          <w:szCs w:val="32"/>
        </w:rPr>
        <w:t>附件八、拟参与本项目服务人员一览表</w:t>
      </w:r>
      <w:bookmarkEnd w:id="105"/>
      <w:bookmarkEnd w:id="106"/>
    </w:p>
    <w:p>
      <w:pPr>
        <w:shd w:val="clear" w:color="auto" w:fill="FFFFFF"/>
        <w:overflowPunct/>
        <w:adjustRightInd/>
        <w:snapToGrid/>
        <w:spacing w:line="560" w:lineRule="exact"/>
        <w:ind w:left="420" w:firstLine="0" w:firstLineChars="0"/>
        <w:jc w:val="center"/>
        <w:rPr>
          <w:b/>
          <w:kern w:val="0"/>
          <w:sz w:val="30"/>
          <w:szCs w:val="30"/>
        </w:rPr>
      </w:pPr>
      <w:bookmarkStart w:id="107" w:name="_Hlk67995747"/>
      <w:r>
        <w:rPr>
          <w:b/>
          <w:kern w:val="0"/>
          <w:sz w:val="30"/>
          <w:szCs w:val="30"/>
        </w:rPr>
        <w:t>拟参与本项目服务人员一览表</w:t>
      </w:r>
      <w:bookmarkEnd w:id="107"/>
      <w:bookmarkStart w:id="108" w:name="_Hlk66378104"/>
    </w:p>
    <w:bookmarkEnd w:id="108"/>
    <w:p>
      <w:pPr>
        <w:overflowPunct/>
        <w:snapToGrid/>
        <w:spacing w:line="560" w:lineRule="exact"/>
        <w:ind w:firstLine="0" w:firstLineChars="0"/>
        <w:jc w:val="center"/>
        <w:rPr>
          <w:b/>
          <w:bCs/>
          <w:kern w:val="0"/>
          <w:szCs w:val="32"/>
        </w:rPr>
      </w:pPr>
    </w:p>
    <w:p>
      <w:pPr>
        <w:overflowPunct/>
        <w:snapToGrid/>
        <w:spacing w:line="560" w:lineRule="exact"/>
        <w:ind w:firstLine="0" w:firstLineChars="0"/>
        <w:rPr>
          <w:kern w:val="0"/>
          <w:sz w:val="30"/>
          <w:szCs w:val="30"/>
        </w:rPr>
      </w:pPr>
      <w:bookmarkStart w:id="109" w:name="_Hlk66784308"/>
      <w:r>
        <w:rPr>
          <w:kern w:val="0"/>
          <w:sz w:val="30"/>
          <w:szCs w:val="30"/>
        </w:rPr>
        <w:t>项目名称：                               项目编号：</w:t>
      </w:r>
    </w:p>
    <w:bookmarkEnd w:id="109"/>
    <w:tbl>
      <w:tblPr>
        <w:tblStyle w:val="23"/>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序号</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姓名</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性别</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年龄</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专业</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学历</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执业</w:t>
            </w:r>
          </w:p>
          <w:p>
            <w:pPr>
              <w:overflowPunct/>
              <w:snapToGrid/>
              <w:spacing w:line="560" w:lineRule="exact"/>
              <w:ind w:firstLine="0" w:firstLineChars="0"/>
              <w:jc w:val="center"/>
              <w:rPr>
                <w:b/>
                <w:bCs/>
                <w:kern w:val="0"/>
                <w:sz w:val="30"/>
                <w:szCs w:val="30"/>
              </w:rPr>
            </w:pPr>
            <w:r>
              <w:rPr>
                <w:b/>
                <w:bCs/>
                <w:kern w:val="0"/>
                <w:sz w:val="30"/>
                <w:szCs w:val="30"/>
              </w:rPr>
              <w:t>资格</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证书号</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技术职称</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相关工作年限</w:t>
            </w:r>
          </w:p>
        </w:tc>
        <w:tc>
          <w:tcPr>
            <w:tcW w:w="851" w:type="dxa"/>
            <w:tcBorders>
              <w:top w:val="single" w:color="000000" w:sz="4" w:space="0"/>
              <w:left w:val="nil"/>
              <w:bottom w:val="single" w:color="000000" w:sz="4" w:space="0"/>
              <w:right w:val="single" w:color="000000" w:sz="4" w:space="0"/>
            </w:tcBorders>
            <w:vAlign w:val="center"/>
          </w:tcPr>
          <w:p>
            <w:pPr>
              <w:overflowPunct/>
              <w:snapToGrid/>
              <w:spacing w:line="560" w:lineRule="exact"/>
              <w:ind w:firstLine="0" w:firstLineChars="0"/>
              <w:jc w:val="center"/>
              <w:rPr>
                <w:b/>
                <w:bCs/>
                <w:kern w:val="0"/>
                <w:sz w:val="30"/>
                <w:szCs w:val="30"/>
              </w:rPr>
            </w:pPr>
            <w:r>
              <w:rPr>
                <w:b/>
                <w:bCs/>
                <w:kern w:val="0"/>
                <w:sz w:val="30"/>
                <w:szCs w:val="30"/>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c>
          <w:tcPr>
            <w:tcW w:w="851" w:type="dxa"/>
            <w:tcBorders>
              <w:top w:val="single" w:color="000000" w:sz="4" w:space="0"/>
              <w:left w:val="nil"/>
              <w:bottom w:val="single" w:color="000000" w:sz="4" w:space="0"/>
              <w:right w:val="single" w:color="000000" w:sz="4" w:space="0"/>
            </w:tcBorders>
          </w:tcPr>
          <w:p>
            <w:pPr>
              <w:overflowPunct/>
              <w:snapToGrid/>
              <w:spacing w:line="560" w:lineRule="exact"/>
              <w:ind w:firstLine="0" w:firstLineChars="0"/>
              <w:rPr>
                <w:kern w:val="0"/>
                <w:sz w:val="30"/>
                <w:szCs w:val="30"/>
              </w:rPr>
            </w:pPr>
          </w:p>
        </w:tc>
      </w:tr>
    </w:tbl>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Cs w:val="32"/>
        </w:rPr>
      </w:pPr>
      <w:r>
        <w:rPr>
          <w:kern w:val="0"/>
          <w:sz w:val="30"/>
          <w:szCs w:val="30"/>
        </w:rPr>
        <w:t>说明：</w:t>
      </w:r>
      <w:r>
        <w:rPr>
          <w:sz w:val="30"/>
          <w:szCs w:val="30"/>
          <w:lang w:val="zh-CN"/>
        </w:rPr>
        <w:t>拟参与本项目服务人员一览表格式和内容自拟，上表可供参考，</w:t>
      </w:r>
      <w:r>
        <w:rPr>
          <w:kern w:val="0"/>
          <w:sz w:val="30"/>
          <w:szCs w:val="30"/>
        </w:rPr>
        <w:t>如果行数不够，请自行增加。</w:t>
      </w:r>
    </w:p>
    <w:p>
      <w:pPr>
        <w:shd w:val="clear" w:color="auto" w:fill="FFFFFF"/>
        <w:overflowPunct/>
        <w:adjustRightInd/>
        <w:snapToGrid/>
        <w:spacing w:line="560" w:lineRule="exact"/>
        <w:ind w:firstLine="0" w:firstLineChars="0"/>
        <w:jc w:val="left"/>
        <w:rPr>
          <w:kern w:val="0"/>
          <w:szCs w:val="32"/>
        </w:rPr>
      </w:pPr>
    </w:p>
    <w:p>
      <w:pPr>
        <w:shd w:val="clear" w:color="auto" w:fill="FFFFFF"/>
        <w:overflowPunct/>
        <w:adjustRightInd/>
        <w:snapToGrid/>
        <w:spacing w:line="560" w:lineRule="exact"/>
        <w:ind w:firstLine="0" w:firstLineChars="0"/>
        <w:jc w:val="left"/>
        <w:rPr>
          <w:kern w:val="0"/>
          <w:szCs w:val="32"/>
        </w:rPr>
      </w:pPr>
      <w:r>
        <w:rPr>
          <w:kern w:val="0"/>
          <w:szCs w:val="32"/>
        </w:rPr>
        <w:t>投标人（盖章）：</w:t>
      </w:r>
      <w:r>
        <w:rPr>
          <w:kern w:val="0"/>
          <w:szCs w:val="32"/>
          <w:u w:val="single"/>
        </w:rPr>
        <w:t xml:space="preserve">                   </w:t>
      </w:r>
    </w:p>
    <w:p>
      <w:pPr>
        <w:shd w:val="clear" w:color="auto" w:fill="FFFFFF"/>
        <w:overflowPunct/>
        <w:adjustRightInd/>
        <w:snapToGrid/>
        <w:spacing w:line="560" w:lineRule="exact"/>
        <w:ind w:firstLine="0" w:firstLineChars="0"/>
        <w:jc w:val="left"/>
        <w:rPr>
          <w:kern w:val="0"/>
          <w:szCs w:val="32"/>
          <w:u w:val="single"/>
        </w:rPr>
      </w:pPr>
      <w:r>
        <w:rPr>
          <w:kern w:val="0"/>
          <w:szCs w:val="32"/>
        </w:rPr>
        <w:t>委托代理人（签字或签章）：</w:t>
      </w:r>
      <w:r>
        <w:rPr>
          <w:kern w:val="0"/>
          <w:szCs w:val="32"/>
          <w:u w:val="single"/>
        </w:rPr>
        <w:t xml:space="preserve">         </w:t>
      </w:r>
    </w:p>
    <w:p>
      <w:pPr>
        <w:overflowPunct/>
        <w:snapToGrid/>
        <w:spacing w:line="560" w:lineRule="exact"/>
        <w:ind w:firstLine="0" w:firstLineChars="0"/>
        <w:rPr>
          <w:kern w:val="0"/>
          <w:szCs w:val="32"/>
        </w:rPr>
      </w:pPr>
    </w:p>
    <w:p>
      <w:pPr>
        <w:overflowPunct/>
        <w:snapToGrid/>
        <w:spacing w:line="560" w:lineRule="exact"/>
        <w:ind w:firstLine="0" w:firstLineChars="0"/>
        <w:rPr>
          <w:b/>
          <w:bCs/>
          <w:kern w:val="0"/>
          <w:szCs w:val="32"/>
        </w:rPr>
      </w:pPr>
      <w:r>
        <w:rPr>
          <w:b/>
          <w:bCs/>
          <w:kern w:val="0"/>
          <w:szCs w:val="32"/>
        </w:rPr>
        <w:br w:type="page"/>
      </w:r>
    </w:p>
    <w:p>
      <w:pPr>
        <w:keepNext/>
        <w:keepLines/>
        <w:numPr>
          <w:ilvl w:val="1"/>
          <w:numId w:val="0"/>
        </w:numPr>
        <w:spacing w:before="260" w:after="260" w:line="560" w:lineRule="exact"/>
        <w:outlineLvl w:val="1"/>
        <w:rPr>
          <w:rFonts w:eastAsia="黑体"/>
          <w:szCs w:val="32"/>
        </w:rPr>
      </w:pPr>
      <w:bookmarkStart w:id="110" w:name="_Toc43917779"/>
      <w:bookmarkStart w:id="111" w:name="_Toc66375432"/>
      <w:r>
        <w:rPr>
          <w:rFonts w:eastAsia="黑体"/>
          <w:szCs w:val="32"/>
        </w:rPr>
        <w:t>附件九、投标人类似业绩情况表</w:t>
      </w:r>
      <w:bookmarkEnd w:id="110"/>
      <w:bookmarkEnd w:id="111"/>
    </w:p>
    <w:p>
      <w:pPr>
        <w:overflowPunct/>
        <w:snapToGrid/>
        <w:spacing w:line="560" w:lineRule="exact"/>
        <w:ind w:firstLine="0" w:firstLineChars="0"/>
        <w:jc w:val="center"/>
        <w:rPr>
          <w:b/>
          <w:bCs/>
          <w:kern w:val="0"/>
          <w:szCs w:val="32"/>
        </w:rPr>
      </w:pPr>
    </w:p>
    <w:p>
      <w:pPr>
        <w:overflowPunct/>
        <w:autoSpaceDE w:val="0"/>
        <w:autoSpaceDN w:val="0"/>
        <w:snapToGrid/>
        <w:spacing w:line="560" w:lineRule="exact"/>
        <w:ind w:firstLine="0" w:firstLineChars="0"/>
        <w:jc w:val="center"/>
        <w:rPr>
          <w:b/>
          <w:sz w:val="30"/>
          <w:szCs w:val="30"/>
        </w:rPr>
      </w:pPr>
      <w:r>
        <w:rPr>
          <w:b/>
          <w:sz w:val="30"/>
          <w:szCs w:val="30"/>
        </w:rPr>
        <w:t>投标人类似业绩情况表</w:t>
      </w:r>
    </w:p>
    <w:p>
      <w:pPr>
        <w:overflowPunct/>
        <w:autoSpaceDE w:val="0"/>
        <w:autoSpaceDN w:val="0"/>
        <w:snapToGrid/>
        <w:spacing w:line="560" w:lineRule="exact"/>
        <w:ind w:firstLine="0" w:firstLineChars="0"/>
        <w:jc w:val="center"/>
        <w:rPr>
          <w:b/>
          <w:sz w:val="30"/>
          <w:szCs w:val="30"/>
        </w:rPr>
      </w:pPr>
    </w:p>
    <w:p>
      <w:pPr>
        <w:overflowPunct/>
        <w:autoSpaceDE w:val="0"/>
        <w:autoSpaceDN w:val="0"/>
        <w:snapToGrid/>
        <w:spacing w:line="560" w:lineRule="exact"/>
        <w:ind w:firstLine="0" w:firstLineChars="0"/>
        <w:jc w:val="left"/>
        <w:rPr>
          <w:b/>
          <w:sz w:val="30"/>
          <w:szCs w:val="30"/>
        </w:rPr>
      </w:pPr>
      <w:r>
        <w:rPr>
          <w:kern w:val="0"/>
          <w:sz w:val="30"/>
          <w:szCs w:val="30"/>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pPr>
              <w:overflowPunct/>
              <w:adjustRightInd/>
              <w:snapToGrid/>
              <w:spacing w:line="560" w:lineRule="exact"/>
              <w:ind w:firstLine="0" w:firstLineChars="0"/>
              <w:jc w:val="center"/>
              <w:rPr>
                <w:b/>
                <w:bCs/>
                <w:sz w:val="30"/>
                <w:szCs w:val="30"/>
              </w:rPr>
            </w:pPr>
            <w:r>
              <w:rPr>
                <w:b/>
                <w:bCs/>
                <w:sz w:val="30"/>
                <w:szCs w:val="30"/>
              </w:rPr>
              <w:t>序号</w:t>
            </w:r>
          </w:p>
        </w:tc>
        <w:tc>
          <w:tcPr>
            <w:tcW w:w="2310" w:type="dxa"/>
            <w:vAlign w:val="center"/>
          </w:tcPr>
          <w:p>
            <w:pPr>
              <w:overflowPunct/>
              <w:adjustRightInd/>
              <w:snapToGrid/>
              <w:spacing w:line="560" w:lineRule="exact"/>
              <w:ind w:firstLine="0" w:firstLineChars="0"/>
              <w:jc w:val="center"/>
              <w:rPr>
                <w:b/>
                <w:bCs/>
                <w:sz w:val="30"/>
                <w:szCs w:val="30"/>
              </w:rPr>
            </w:pPr>
            <w:r>
              <w:rPr>
                <w:b/>
                <w:bCs/>
                <w:sz w:val="30"/>
                <w:szCs w:val="30"/>
              </w:rPr>
              <w:t>项目名称</w:t>
            </w:r>
          </w:p>
        </w:tc>
        <w:tc>
          <w:tcPr>
            <w:tcW w:w="2257" w:type="dxa"/>
            <w:vAlign w:val="center"/>
          </w:tcPr>
          <w:p>
            <w:pPr>
              <w:overflowPunct/>
              <w:adjustRightInd/>
              <w:snapToGrid/>
              <w:spacing w:line="560" w:lineRule="exact"/>
              <w:ind w:firstLine="0" w:firstLineChars="0"/>
              <w:jc w:val="center"/>
              <w:rPr>
                <w:b/>
                <w:bCs/>
                <w:sz w:val="30"/>
                <w:szCs w:val="30"/>
              </w:rPr>
            </w:pPr>
            <w:r>
              <w:rPr>
                <w:b/>
                <w:bCs/>
                <w:sz w:val="30"/>
                <w:szCs w:val="30"/>
              </w:rPr>
              <w:t>采购单位</w:t>
            </w:r>
          </w:p>
        </w:tc>
        <w:tc>
          <w:tcPr>
            <w:tcW w:w="1255" w:type="dxa"/>
            <w:vAlign w:val="center"/>
          </w:tcPr>
          <w:p>
            <w:pPr>
              <w:overflowPunct/>
              <w:adjustRightInd/>
              <w:snapToGrid/>
              <w:spacing w:line="560" w:lineRule="exact"/>
              <w:ind w:firstLine="0" w:firstLineChars="0"/>
              <w:jc w:val="center"/>
              <w:rPr>
                <w:b/>
                <w:bCs/>
                <w:sz w:val="30"/>
                <w:szCs w:val="30"/>
              </w:rPr>
            </w:pPr>
            <w:r>
              <w:rPr>
                <w:b/>
                <w:bCs/>
                <w:sz w:val="30"/>
                <w:szCs w:val="30"/>
              </w:rPr>
              <w:t>合同金额</w:t>
            </w:r>
          </w:p>
        </w:tc>
        <w:tc>
          <w:tcPr>
            <w:tcW w:w="1418" w:type="dxa"/>
          </w:tcPr>
          <w:p>
            <w:pPr>
              <w:overflowPunct/>
              <w:adjustRightInd/>
              <w:snapToGrid/>
              <w:spacing w:line="560" w:lineRule="exact"/>
              <w:ind w:firstLine="0" w:firstLineChars="0"/>
              <w:jc w:val="center"/>
              <w:rPr>
                <w:b/>
                <w:bCs/>
                <w:sz w:val="30"/>
                <w:szCs w:val="30"/>
              </w:rPr>
            </w:pPr>
            <w:r>
              <w:rPr>
                <w:b/>
                <w:bCs/>
                <w:sz w:val="30"/>
                <w:szCs w:val="30"/>
              </w:rPr>
              <w:t>合同</w:t>
            </w:r>
            <w:r>
              <w:rPr>
                <w:rFonts w:hint="eastAsia"/>
                <w:b/>
                <w:bCs/>
                <w:sz w:val="30"/>
                <w:szCs w:val="30"/>
              </w:rPr>
              <w:t>签订</w:t>
            </w:r>
            <w:r>
              <w:rPr>
                <w:b/>
                <w:bCs/>
                <w:sz w:val="30"/>
                <w:szCs w:val="30"/>
              </w:rPr>
              <w:t>时间</w:t>
            </w:r>
          </w:p>
        </w:tc>
        <w:tc>
          <w:tcPr>
            <w:tcW w:w="1134" w:type="dxa"/>
          </w:tcPr>
          <w:p>
            <w:pPr>
              <w:overflowPunct/>
              <w:adjustRightInd/>
              <w:snapToGrid/>
              <w:spacing w:line="560" w:lineRule="exact"/>
              <w:ind w:firstLine="0" w:firstLineChars="0"/>
              <w:jc w:val="center"/>
              <w:rPr>
                <w:b/>
                <w:bCs/>
                <w:sz w:val="30"/>
                <w:szCs w:val="30"/>
              </w:rPr>
            </w:pPr>
            <w:r>
              <w:rPr>
                <w:b/>
                <w:bCs/>
                <w:sz w:val="30"/>
                <w:szCs w:val="30"/>
              </w:rPr>
              <w:t>联系人及电话</w:t>
            </w:r>
          </w:p>
        </w:tc>
        <w:tc>
          <w:tcPr>
            <w:tcW w:w="969" w:type="dxa"/>
            <w:vAlign w:val="center"/>
          </w:tcPr>
          <w:p>
            <w:pPr>
              <w:overflowPunct/>
              <w:adjustRightInd/>
              <w:snapToGrid/>
              <w:spacing w:line="560" w:lineRule="exact"/>
              <w:ind w:firstLine="0" w:firstLineChars="0"/>
              <w:jc w:val="center"/>
              <w:rPr>
                <w:b/>
                <w:bCs/>
                <w:sz w:val="30"/>
                <w:szCs w:val="30"/>
              </w:rPr>
            </w:pPr>
            <w:r>
              <w:rPr>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overflowPunct/>
              <w:adjustRightInd/>
              <w:snapToGrid/>
              <w:spacing w:line="560" w:lineRule="exact"/>
              <w:ind w:firstLine="0" w:firstLineChars="0"/>
              <w:jc w:val="center"/>
              <w:rPr>
                <w:sz w:val="30"/>
                <w:szCs w:val="30"/>
              </w:rPr>
            </w:pPr>
          </w:p>
        </w:tc>
        <w:tc>
          <w:tcPr>
            <w:tcW w:w="2310" w:type="dxa"/>
          </w:tcPr>
          <w:p>
            <w:pPr>
              <w:overflowPunct/>
              <w:adjustRightInd/>
              <w:snapToGrid/>
              <w:spacing w:line="560" w:lineRule="exact"/>
              <w:ind w:firstLine="0" w:firstLineChars="0"/>
              <w:jc w:val="center"/>
              <w:rPr>
                <w:sz w:val="30"/>
                <w:szCs w:val="30"/>
              </w:rPr>
            </w:pPr>
          </w:p>
        </w:tc>
        <w:tc>
          <w:tcPr>
            <w:tcW w:w="2257" w:type="dxa"/>
          </w:tcPr>
          <w:p>
            <w:pPr>
              <w:overflowPunct/>
              <w:adjustRightInd/>
              <w:snapToGrid/>
              <w:spacing w:line="560" w:lineRule="exact"/>
              <w:ind w:firstLine="150" w:firstLineChars="50"/>
              <w:rPr>
                <w:sz w:val="30"/>
                <w:szCs w:val="30"/>
              </w:rPr>
            </w:pPr>
          </w:p>
        </w:tc>
        <w:tc>
          <w:tcPr>
            <w:tcW w:w="1255" w:type="dxa"/>
          </w:tcPr>
          <w:p>
            <w:pPr>
              <w:overflowPunct/>
              <w:adjustRightInd/>
              <w:snapToGrid/>
              <w:spacing w:line="560" w:lineRule="exact"/>
              <w:ind w:firstLine="0" w:firstLineChars="0"/>
              <w:jc w:val="center"/>
              <w:rPr>
                <w:sz w:val="30"/>
                <w:szCs w:val="30"/>
              </w:rPr>
            </w:pPr>
          </w:p>
        </w:tc>
        <w:tc>
          <w:tcPr>
            <w:tcW w:w="1418" w:type="dxa"/>
          </w:tcPr>
          <w:p>
            <w:pPr>
              <w:overflowPunct/>
              <w:adjustRightInd/>
              <w:snapToGrid/>
              <w:spacing w:line="560" w:lineRule="exact"/>
              <w:ind w:firstLine="0" w:firstLineChars="0"/>
              <w:jc w:val="center"/>
              <w:rPr>
                <w:sz w:val="30"/>
                <w:szCs w:val="30"/>
              </w:rPr>
            </w:pPr>
          </w:p>
        </w:tc>
        <w:tc>
          <w:tcPr>
            <w:tcW w:w="1134" w:type="dxa"/>
          </w:tcPr>
          <w:p>
            <w:pPr>
              <w:overflowPunct/>
              <w:adjustRightInd/>
              <w:snapToGrid/>
              <w:spacing w:line="560" w:lineRule="exact"/>
              <w:ind w:firstLine="0" w:firstLineChars="0"/>
              <w:jc w:val="center"/>
              <w:rPr>
                <w:sz w:val="30"/>
                <w:szCs w:val="30"/>
              </w:rPr>
            </w:pPr>
          </w:p>
        </w:tc>
        <w:tc>
          <w:tcPr>
            <w:tcW w:w="969" w:type="dxa"/>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overflowPunct/>
              <w:adjustRightInd/>
              <w:snapToGrid/>
              <w:spacing w:line="560" w:lineRule="exact"/>
              <w:ind w:firstLine="0" w:firstLineChars="0"/>
              <w:jc w:val="center"/>
              <w:rPr>
                <w:sz w:val="30"/>
                <w:szCs w:val="30"/>
              </w:rPr>
            </w:pPr>
          </w:p>
        </w:tc>
        <w:tc>
          <w:tcPr>
            <w:tcW w:w="2310" w:type="dxa"/>
          </w:tcPr>
          <w:p>
            <w:pPr>
              <w:overflowPunct/>
              <w:adjustRightInd/>
              <w:snapToGrid/>
              <w:spacing w:line="560" w:lineRule="exact"/>
              <w:ind w:firstLine="0" w:firstLineChars="0"/>
              <w:jc w:val="center"/>
              <w:rPr>
                <w:sz w:val="30"/>
                <w:szCs w:val="30"/>
              </w:rPr>
            </w:pPr>
          </w:p>
        </w:tc>
        <w:tc>
          <w:tcPr>
            <w:tcW w:w="2257" w:type="dxa"/>
          </w:tcPr>
          <w:p>
            <w:pPr>
              <w:overflowPunct/>
              <w:adjustRightInd/>
              <w:snapToGrid/>
              <w:spacing w:line="560" w:lineRule="exact"/>
              <w:ind w:firstLine="0" w:firstLineChars="0"/>
              <w:jc w:val="center"/>
              <w:rPr>
                <w:sz w:val="30"/>
                <w:szCs w:val="30"/>
              </w:rPr>
            </w:pPr>
          </w:p>
        </w:tc>
        <w:tc>
          <w:tcPr>
            <w:tcW w:w="1255" w:type="dxa"/>
          </w:tcPr>
          <w:p>
            <w:pPr>
              <w:overflowPunct/>
              <w:adjustRightInd/>
              <w:snapToGrid/>
              <w:spacing w:line="560" w:lineRule="exact"/>
              <w:ind w:firstLine="0" w:firstLineChars="0"/>
              <w:jc w:val="center"/>
              <w:rPr>
                <w:sz w:val="30"/>
                <w:szCs w:val="30"/>
              </w:rPr>
            </w:pPr>
          </w:p>
        </w:tc>
        <w:tc>
          <w:tcPr>
            <w:tcW w:w="1418" w:type="dxa"/>
          </w:tcPr>
          <w:p>
            <w:pPr>
              <w:overflowPunct/>
              <w:adjustRightInd/>
              <w:snapToGrid/>
              <w:spacing w:line="560" w:lineRule="exact"/>
              <w:ind w:firstLine="0" w:firstLineChars="0"/>
              <w:jc w:val="center"/>
              <w:rPr>
                <w:sz w:val="30"/>
                <w:szCs w:val="30"/>
              </w:rPr>
            </w:pPr>
          </w:p>
        </w:tc>
        <w:tc>
          <w:tcPr>
            <w:tcW w:w="1134" w:type="dxa"/>
          </w:tcPr>
          <w:p>
            <w:pPr>
              <w:overflowPunct/>
              <w:adjustRightInd/>
              <w:snapToGrid/>
              <w:spacing w:line="560" w:lineRule="exact"/>
              <w:ind w:firstLine="0" w:firstLineChars="0"/>
              <w:jc w:val="center"/>
              <w:rPr>
                <w:sz w:val="30"/>
                <w:szCs w:val="30"/>
              </w:rPr>
            </w:pPr>
          </w:p>
        </w:tc>
        <w:tc>
          <w:tcPr>
            <w:tcW w:w="969" w:type="dxa"/>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3" w:type="dxa"/>
          </w:tcPr>
          <w:p>
            <w:pPr>
              <w:overflowPunct/>
              <w:adjustRightInd/>
              <w:snapToGrid/>
              <w:spacing w:line="560" w:lineRule="exact"/>
              <w:ind w:firstLine="0" w:firstLineChars="0"/>
              <w:jc w:val="center"/>
              <w:rPr>
                <w:sz w:val="30"/>
                <w:szCs w:val="30"/>
              </w:rPr>
            </w:pPr>
          </w:p>
        </w:tc>
        <w:tc>
          <w:tcPr>
            <w:tcW w:w="2310" w:type="dxa"/>
          </w:tcPr>
          <w:p>
            <w:pPr>
              <w:overflowPunct/>
              <w:adjustRightInd/>
              <w:snapToGrid/>
              <w:spacing w:line="560" w:lineRule="exact"/>
              <w:ind w:firstLine="0" w:firstLineChars="0"/>
              <w:jc w:val="center"/>
              <w:rPr>
                <w:sz w:val="30"/>
                <w:szCs w:val="30"/>
              </w:rPr>
            </w:pPr>
          </w:p>
        </w:tc>
        <w:tc>
          <w:tcPr>
            <w:tcW w:w="2257" w:type="dxa"/>
          </w:tcPr>
          <w:p>
            <w:pPr>
              <w:overflowPunct/>
              <w:adjustRightInd/>
              <w:snapToGrid/>
              <w:spacing w:line="560" w:lineRule="exact"/>
              <w:ind w:firstLine="0" w:firstLineChars="0"/>
              <w:jc w:val="center"/>
              <w:rPr>
                <w:sz w:val="30"/>
                <w:szCs w:val="30"/>
              </w:rPr>
            </w:pPr>
          </w:p>
        </w:tc>
        <w:tc>
          <w:tcPr>
            <w:tcW w:w="1255" w:type="dxa"/>
          </w:tcPr>
          <w:p>
            <w:pPr>
              <w:overflowPunct/>
              <w:adjustRightInd/>
              <w:snapToGrid/>
              <w:spacing w:line="560" w:lineRule="exact"/>
              <w:ind w:firstLine="0" w:firstLineChars="0"/>
              <w:jc w:val="center"/>
              <w:rPr>
                <w:sz w:val="30"/>
                <w:szCs w:val="30"/>
              </w:rPr>
            </w:pPr>
          </w:p>
        </w:tc>
        <w:tc>
          <w:tcPr>
            <w:tcW w:w="1418" w:type="dxa"/>
          </w:tcPr>
          <w:p>
            <w:pPr>
              <w:overflowPunct/>
              <w:adjustRightInd/>
              <w:snapToGrid/>
              <w:spacing w:line="560" w:lineRule="exact"/>
              <w:ind w:firstLine="0" w:firstLineChars="0"/>
              <w:jc w:val="center"/>
              <w:rPr>
                <w:sz w:val="30"/>
                <w:szCs w:val="30"/>
              </w:rPr>
            </w:pPr>
          </w:p>
        </w:tc>
        <w:tc>
          <w:tcPr>
            <w:tcW w:w="1134" w:type="dxa"/>
          </w:tcPr>
          <w:p>
            <w:pPr>
              <w:overflowPunct/>
              <w:adjustRightInd/>
              <w:snapToGrid/>
              <w:spacing w:line="560" w:lineRule="exact"/>
              <w:ind w:firstLine="0" w:firstLineChars="0"/>
              <w:jc w:val="center"/>
              <w:rPr>
                <w:sz w:val="30"/>
                <w:szCs w:val="30"/>
              </w:rPr>
            </w:pPr>
          </w:p>
        </w:tc>
        <w:tc>
          <w:tcPr>
            <w:tcW w:w="969" w:type="dxa"/>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overflowPunct/>
              <w:adjustRightInd/>
              <w:snapToGrid/>
              <w:spacing w:line="560" w:lineRule="exact"/>
              <w:ind w:firstLine="0" w:firstLineChars="0"/>
              <w:jc w:val="center"/>
              <w:rPr>
                <w:sz w:val="30"/>
                <w:szCs w:val="30"/>
              </w:rPr>
            </w:pPr>
          </w:p>
        </w:tc>
        <w:tc>
          <w:tcPr>
            <w:tcW w:w="2310" w:type="dxa"/>
          </w:tcPr>
          <w:p>
            <w:pPr>
              <w:overflowPunct/>
              <w:adjustRightInd/>
              <w:snapToGrid/>
              <w:spacing w:line="560" w:lineRule="exact"/>
              <w:ind w:firstLine="0" w:firstLineChars="0"/>
              <w:jc w:val="center"/>
              <w:rPr>
                <w:sz w:val="30"/>
                <w:szCs w:val="30"/>
              </w:rPr>
            </w:pPr>
          </w:p>
        </w:tc>
        <w:tc>
          <w:tcPr>
            <w:tcW w:w="2257" w:type="dxa"/>
          </w:tcPr>
          <w:p>
            <w:pPr>
              <w:overflowPunct/>
              <w:adjustRightInd/>
              <w:snapToGrid/>
              <w:spacing w:line="560" w:lineRule="exact"/>
              <w:ind w:firstLine="0" w:firstLineChars="0"/>
              <w:jc w:val="center"/>
              <w:rPr>
                <w:sz w:val="30"/>
                <w:szCs w:val="30"/>
              </w:rPr>
            </w:pPr>
          </w:p>
        </w:tc>
        <w:tc>
          <w:tcPr>
            <w:tcW w:w="1255" w:type="dxa"/>
          </w:tcPr>
          <w:p>
            <w:pPr>
              <w:overflowPunct/>
              <w:adjustRightInd/>
              <w:snapToGrid/>
              <w:spacing w:line="560" w:lineRule="exact"/>
              <w:ind w:firstLine="0" w:firstLineChars="0"/>
              <w:jc w:val="center"/>
              <w:rPr>
                <w:sz w:val="30"/>
                <w:szCs w:val="30"/>
              </w:rPr>
            </w:pPr>
          </w:p>
        </w:tc>
        <w:tc>
          <w:tcPr>
            <w:tcW w:w="1418" w:type="dxa"/>
          </w:tcPr>
          <w:p>
            <w:pPr>
              <w:overflowPunct/>
              <w:adjustRightInd/>
              <w:snapToGrid/>
              <w:spacing w:line="560" w:lineRule="exact"/>
              <w:ind w:firstLine="0" w:firstLineChars="0"/>
              <w:jc w:val="center"/>
              <w:rPr>
                <w:sz w:val="30"/>
                <w:szCs w:val="30"/>
              </w:rPr>
            </w:pPr>
          </w:p>
        </w:tc>
        <w:tc>
          <w:tcPr>
            <w:tcW w:w="1134" w:type="dxa"/>
          </w:tcPr>
          <w:p>
            <w:pPr>
              <w:overflowPunct/>
              <w:adjustRightInd/>
              <w:snapToGrid/>
              <w:spacing w:line="560" w:lineRule="exact"/>
              <w:ind w:firstLine="0" w:firstLineChars="0"/>
              <w:jc w:val="center"/>
              <w:rPr>
                <w:sz w:val="30"/>
                <w:szCs w:val="30"/>
              </w:rPr>
            </w:pPr>
          </w:p>
        </w:tc>
        <w:tc>
          <w:tcPr>
            <w:tcW w:w="969" w:type="dxa"/>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overflowPunct/>
              <w:adjustRightInd/>
              <w:snapToGrid/>
              <w:spacing w:line="560" w:lineRule="exact"/>
              <w:ind w:firstLine="0" w:firstLineChars="0"/>
              <w:jc w:val="center"/>
              <w:rPr>
                <w:sz w:val="30"/>
                <w:szCs w:val="30"/>
              </w:rPr>
            </w:pPr>
          </w:p>
        </w:tc>
        <w:tc>
          <w:tcPr>
            <w:tcW w:w="2310" w:type="dxa"/>
          </w:tcPr>
          <w:p>
            <w:pPr>
              <w:overflowPunct/>
              <w:adjustRightInd/>
              <w:snapToGrid/>
              <w:spacing w:line="560" w:lineRule="exact"/>
              <w:ind w:firstLine="0" w:firstLineChars="0"/>
              <w:jc w:val="center"/>
              <w:rPr>
                <w:sz w:val="30"/>
                <w:szCs w:val="30"/>
              </w:rPr>
            </w:pPr>
          </w:p>
        </w:tc>
        <w:tc>
          <w:tcPr>
            <w:tcW w:w="2257" w:type="dxa"/>
          </w:tcPr>
          <w:p>
            <w:pPr>
              <w:overflowPunct/>
              <w:adjustRightInd/>
              <w:snapToGrid/>
              <w:spacing w:line="560" w:lineRule="exact"/>
              <w:ind w:firstLine="0" w:firstLineChars="0"/>
              <w:jc w:val="center"/>
              <w:rPr>
                <w:sz w:val="30"/>
                <w:szCs w:val="30"/>
              </w:rPr>
            </w:pPr>
          </w:p>
        </w:tc>
        <w:tc>
          <w:tcPr>
            <w:tcW w:w="1255" w:type="dxa"/>
          </w:tcPr>
          <w:p>
            <w:pPr>
              <w:overflowPunct/>
              <w:adjustRightInd/>
              <w:snapToGrid/>
              <w:spacing w:line="560" w:lineRule="exact"/>
              <w:ind w:firstLine="0" w:firstLineChars="0"/>
              <w:jc w:val="center"/>
              <w:rPr>
                <w:sz w:val="30"/>
                <w:szCs w:val="30"/>
              </w:rPr>
            </w:pPr>
          </w:p>
        </w:tc>
        <w:tc>
          <w:tcPr>
            <w:tcW w:w="1418" w:type="dxa"/>
          </w:tcPr>
          <w:p>
            <w:pPr>
              <w:overflowPunct/>
              <w:adjustRightInd/>
              <w:snapToGrid/>
              <w:spacing w:line="560" w:lineRule="exact"/>
              <w:ind w:firstLine="0" w:firstLineChars="0"/>
              <w:jc w:val="center"/>
              <w:rPr>
                <w:sz w:val="30"/>
                <w:szCs w:val="30"/>
              </w:rPr>
            </w:pPr>
          </w:p>
        </w:tc>
        <w:tc>
          <w:tcPr>
            <w:tcW w:w="1134" w:type="dxa"/>
          </w:tcPr>
          <w:p>
            <w:pPr>
              <w:overflowPunct/>
              <w:adjustRightInd/>
              <w:snapToGrid/>
              <w:spacing w:line="560" w:lineRule="exact"/>
              <w:ind w:firstLine="0" w:firstLineChars="0"/>
              <w:jc w:val="center"/>
              <w:rPr>
                <w:sz w:val="30"/>
                <w:szCs w:val="30"/>
              </w:rPr>
            </w:pPr>
          </w:p>
        </w:tc>
        <w:tc>
          <w:tcPr>
            <w:tcW w:w="969" w:type="dxa"/>
          </w:tcPr>
          <w:p>
            <w:pPr>
              <w:overflowPunct/>
              <w:adjustRightInd/>
              <w:snapToGrid/>
              <w:spacing w:line="560" w:lineRule="exact"/>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pPr>
              <w:overflowPunct/>
              <w:adjustRightInd/>
              <w:snapToGrid/>
              <w:spacing w:line="560" w:lineRule="exact"/>
              <w:ind w:firstLine="0" w:firstLineChars="0"/>
              <w:jc w:val="center"/>
              <w:rPr>
                <w:sz w:val="30"/>
                <w:szCs w:val="30"/>
              </w:rPr>
            </w:pPr>
          </w:p>
        </w:tc>
        <w:tc>
          <w:tcPr>
            <w:tcW w:w="2310" w:type="dxa"/>
          </w:tcPr>
          <w:p>
            <w:pPr>
              <w:overflowPunct/>
              <w:adjustRightInd/>
              <w:snapToGrid/>
              <w:spacing w:line="560" w:lineRule="exact"/>
              <w:ind w:firstLine="0" w:firstLineChars="0"/>
              <w:jc w:val="center"/>
              <w:rPr>
                <w:sz w:val="30"/>
                <w:szCs w:val="30"/>
              </w:rPr>
            </w:pPr>
          </w:p>
        </w:tc>
        <w:tc>
          <w:tcPr>
            <w:tcW w:w="2257" w:type="dxa"/>
          </w:tcPr>
          <w:p>
            <w:pPr>
              <w:overflowPunct/>
              <w:adjustRightInd/>
              <w:snapToGrid/>
              <w:spacing w:line="560" w:lineRule="exact"/>
              <w:ind w:firstLine="0" w:firstLineChars="0"/>
              <w:jc w:val="center"/>
              <w:rPr>
                <w:sz w:val="30"/>
                <w:szCs w:val="30"/>
              </w:rPr>
            </w:pPr>
          </w:p>
        </w:tc>
        <w:tc>
          <w:tcPr>
            <w:tcW w:w="1255" w:type="dxa"/>
          </w:tcPr>
          <w:p>
            <w:pPr>
              <w:overflowPunct/>
              <w:adjustRightInd/>
              <w:snapToGrid/>
              <w:spacing w:line="560" w:lineRule="exact"/>
              <w:ind w:firstLine="0" w:firstLineChars="0"/>
              <w:jc w:val="center"/>
              <w:rPr>
                <w:sz w:val="30"/>
                <w:szCs w:val="30"/>
              </w:rPr>
            </w:pPr>
          </w:p>
        </w:tc>
        <w:tc>
          <w:tcPr>
            <w:tcW w:w="1418" w:type="dxa"/>
          </w:tcPr>
          <w:p>
            <w:pPr>
              <w:overflowPunct/>
              <w:adjustRightInd/>
              <w:snapToGrid/>
              <w:spacing w:line="560" w:lineRule="exact"/>
              <w:ind w:firstLine="0" w:firstLineChars="0"/>
              <w:jc w:val="center"/>
              <w:rPr>
                <w:sz w:val="30"/>
                <w:szCs w:val="30"/>
              </w:rPr>
            </w:pPr>
          </w:p>
        </w:tc>
        <w:tc>
          <w:tcPr>
            <w:tcW w:w="1134" w:type="dxa"/>
          </w:tcPr>
          <w:p>
            <w:pPr>
              <w:overflowPunct/>
              <w:adjustRightInd/>
              <w:snapToGrid/>
              <w:spacing w:line="560" w:lineRule="exact"/>
              <w:ind w:firstLine="0" w:firstLineChars="0"/>
              <w:jc w:val="center"/>
              <w:rPr>
                <w:sz w:val="30"/>
                <w:szCs w:val="30"/>
              </w:rPr>
            </w:pPr>
          </w:p>
        </w:tc>
        <w:tc>
          <w:tcPr>
            <w:tcW w:w="969" w:type="dxa"/>
          </w:tcPr>
          <w:p>
            <w:pPr>
              <w:overflowPunct/>
              <w:adjustRightInd/>
              <w:snapToGrid/>
              <w:spacing w:line="560" w:lineRule="exact"/>
              <w:ind w:firstLine="0" w:firstLineChars="0"/>
              <w:jc w:val="center"/>
              <w:rPr>
                <w:sz w:val="30"/>
                <w:szCs w:val="30"/>
              </w:rPr>
            </w:pPr>
          </w:p>
        </w:tc>
      </w:tr>
    </w:tbl>
    <w:p>
      <w:pPr>
        <w:overflowPunct/>
        <w:autoSpaceDE w:val="0"/>
        <w:autoSpaceDN w:val="0"/>
        <w:snapToGrid/>
        <w:spacing w:line="560" w:lineRule="exact"/>
        <w:ind w:firstLine="0" w:firstLineChars="0"/>
        <w:rPr>
          <w:b/>
          <w:sz w:val="30"/>
          <w:szCs w:val="30"/>
        </w:rPr>
      </w:pPr>
      <w:bookmarkStart w:id="112" w:name="_Hlk66784249"/>
    </w:p>
    <w:p>
      <w:pPr>
        <w:overflowPunct/>
        <w:autoSpaceDE w:val="0"/>
        <w:autoSpaceDN w:val="0"/>
        <w:snapToGrid/>
        <w:spacing w:line="560" w:lineRule="exact"/>
        <w:ind w:firstLine="0" w:firstLineChars="0"/>
        <w:rPr>
          <w:b/>
          <w:sz w:val="30"/>
          <w:szCs w:val="30"/>
        </w:rPr>
      </w:pPr>
      <w:r>
        <w:rPr>
          <w:b/>
          <w:sz w:val="30"/>
          <w:szCs w:val="30"/>
        </w:rPr>
        <w:t>说明：投标人如实填写业绩情况表，</w:t>
      </w:r>
      <w:bookmarkStart w:id="113" w:name="_Hlk66378132"/>
      <w:r>
        <w:rPr>
          <w:b/>
          <w:sz w:val="30"/>
          <w:szCs w:val="30"/>
        </w:rPr>
        <w:t>并根据招标文件要求附业绩证明材料。</w:t>
      </w:r>
      <w:bookmarkEnd w:id="113"/>
    </w:p>
    <w:bookmarkEnd w:id="112"/>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p>
    <w:p>
      <w:pPr>
        <w:shd w:val="clear" w:color="auto" w:fill="FFFFFF"/>
        <w:overflowPunct/>
        <w:adjustRightInd/>
        <w:snapToGrid/>
        <w:spacing w:line="560" w:lineRule="exact"/>
        <w:ind w:firstLine="0" w:firstLineChars="0"/>
        <w:jc w:val="left"/>
        <w:rPr>
          <w:kern w:val="0"/>
          <w:sz w:val="30"/>
          <w:szCs w:val="30"/>
        </w:rPr>
      </w:pPr>
      <w:r>
        <w:rPr>
          <w:kern w:val="0"/>
          <w:sz w:val="30"/>
          <w:szCs w:val="30"/>
        </w:rPr>
        <w:t>投标人（盖章）：</w:t>
      </w:r>
      <w:r>
        <w:rPr>
          <w:kern w:val="0"/>
          <w:sz w:val="30"/>
          <w:szCs w:val="30"/>
          <w:u w:val="single"/>
        </w:rPr>
        <w:t>                                      </w:t>
      </w:r>
    </w:p>
    <w:p>
      <w:pPr>
        <w:shd w:val="clear" w:color="auto" w:fill="FFFFFF"/>
        <w:overflowPunct/>
        <w:adjustRightInd/>
        <w:snapToGrid/>
        <w:spacing w:line="560" w:lineRule="exact"/>
        <w:ind w:firstLine="0" w:firstLineChars="0"/>
        <w:jc w:val="left"/>
        <w:rPr>
          <w:kern w:val="0"/>
          <w:sz w:val="30"/>
          <w:szCs w:val="30"/>
          <w:u w:val="single"/>
        </w:rPr>
      </w:pPr>
      <w:r>
        <w:rPr>
          <w:kern w:val="0"/>
          <w:sz w:val="30"/>
          <w:szCs w:val="30"/>
        </w:rPr>
        <w:t>委托代理人（签字或签章）：</w:t>
      </w:r>
      <w:r>
        <w:rPr>
          <w:kern w:val="0"/>
          <w:sz w:val="30"/>
          <w:szCs w:val="30"/>
          <w:u w:val="single"/>
        </w:rPr>
        <w:t>                             </w:t>
      </w:r>
    </w:p>
    <w:p>
      <w:pPr>
        <w:overflowPunct/>
        <w:snapToGrid/>
        <w:spacing w:line="560" w:lineRule="exact"/>
        <w:ind w:firstLine="0" w:firstLineChars="0"/>
        <w:rPr>
          <w:b/>
          <w:bCs/>
          <w:kern w:val="0"/>
          <w:szCs w:val="32"/>
        </w:rPr>
      </w:pPr>
    </w:p>
    <w:p>
      <w:pPr>
        <w:spacing w:line="240" w:lineRule="auto"/>
        <w:ind w:firstLine="0" w:firstLineChars="0"/>
        <w:jc w:val="left"/>
        <w:rPr>
          <w:rFonts w:eastAsia="方正小标宋_GBK"/>
          <w:kern w:val="44"/>
          <w:sz w:val="44"/>
          <w:szCs w:val="22"/>
        </w:rPr>
      </w:pPr>
      <w:r>
        <w:rPr>
          <w:rFonts w:eastAsia="黑体"/>
          <w:szCs w:val="28"/>
        </w:rPr>
        <w:br w:type="page"/>
      </w:r>
    </w:p>
    <w:bookmarkEnd w:id="0"/>
    <w:p>
      <w:pPr>
        <w:spacing w:after="439"/>
        <w:ind w:firstLine="0" w:firstLineChars="0"/>
      </w:pPr>
      <w:r>
        <w:rPr>
          <w:rFonts w:hint="eastAsia"/>
        </w:rPr>
        <w:t>附件3</w:t>
      </w:r>
    </w:p>
    <w:p>
      <w:pPr>
        <w:pStyle w:val="48"/>
        <w:widowControl w:val="0"/>
        <w:rPr>
          <w:rFonts w:cs="Times New Roman"/>
        </w:rPr>
      </w:pPr>
      <w:r>
        <w:rPr>
          <w:rFonts w:hint="eastAsia" w:cs="Times New Roman"/>
        </w:rPr>
        <w:t>中小学食材招标工作导引</w:t>
      </w:r>
    </w:p>
    <w:p>
      <w:pPr>
        <w:ind w:firstLine="640"/>
        <w:rPr>
          <w:rFonts w:ascii="仿宋_GB2312"/>
        </w:rPr>
      </w:pPr>
    </w:p>
    <w:p>
      <w:pPr>
        <w:ind w:firstLine="640"/>
      </w:pPr>
      <w:r>
        <w:rPr>
          <w:rFonts w:hint="eastAsia" w:ascii="仿宋_GB2312"/>
        </w:rPr>
        <w:t>在属地教育部门主管范围内，学校成立食材采购联合体，委托当地公共资源交易中心或者公开招标确定代理机构（统称招标实施机构），实施食材公开招标采购工作。中小学食材招标工作组监督和指导食材采购联合体、招标实施机构开展资格审查、公开招标、开标与评标、实际竞价等工作。</w:t>
      </w:r>
    </w:p>
    <w:p>
      <w:pPr>
        <w:pStyle w:val="47"/>
        <w:spacing w:before="570" w:after="219"/>
        <w:rPr>
          <w:rFonts w:cs="Times New Roman"/>
          <w:color w:val="auto"/>
        </w:rPr>
      </w:pPr>
      <w:r>
        <w:rPr>
          <w:rFonts w:hint="eastAsia" w:cs="Times New Roman"/>
          <w:color w:val="auto"/>
        </w:rPr>
        <w:t>第一部分  资格审查</w:t>
      </w:r>
    </w:p>
    <w:p>
      <w:pPr>
        <w:ind w:firstLine="640"/>
        <w:rPr>
          <w:rStyle w:val="44"/>
        </w:rPr>
      </w:pPr>
      <w:r>
        <w:rPr>
          <w:rFonts w:hint="eastAsia"/>
        </w:rPr>
        <w:t>中小学食材招标工作组负责组建资格审查工作组并监督指导其开展资格审查工作，资格审查工作包括汇总报名材料、制定资格审查方案、组织现场考察。中小学食材招标工作组组织集中评议，最终公布审查结果。</w:t>
      </w:r>
    </w:p>
    <w:p>
      <w:pPr>
        <w:ind w:firstLine="640"/>
        <w:rPr>
          <w:rStyle w:val="44"/>
        </w:rPr>
      </w:pPr>
      <w:r>
        <w:rPr>
          <w:rStyle w:val="44"/>
          <w:rFonts w:hint="eastAsia"/>
        </w:rPr>
        <w:t>一、组建资格审查工作组</w:t>
      </w:r>
    </w:p>
    <w:p>
      <w:pPr>
        <w:ind w:firstLine="640"/>
      </w:pPr>
      <w:r>
        <w:rPr>
          <w:rFonts w:hint="eastAsia"/>
        </w:rPr>
        <w:t>资格审查工作组由发展改革、教育、公安、财政、农业农村、卫生健康、市场监管等部门人员、招标实施机构工作人员、本地区学校的食堂管理人员代表和家长志愿者组成，组长由中小学食材招标工作组推荐的相关管理人员担任，成员不少于15人，其中在校生家长不少于3人。资格审查工作组根据工作需要可分为若干小组，每小组成员不少于5人，其中在校生家长不少于1人。小组长由学校的相关管理人员代表担任。资格审查工作组所有人员应严格执行回避制度。</w:t>
      </w:r>
    </w:p>
    <w:p>
      <w:pPr>
        <w:ind w:firstLine="640"/>
        <w:rPr>
          <w:rStyle w:val="44"/>
        </w:rPr>
      </w:pPr>
      <w:r>
        <w:rPr>
          <w:rStyle w:val="44"/>
          <w:rFonts w:hint="eastAsia"/>
        </w:rPr>
        <w:t>二、汇总报名材料</w:t>
      </w:r>
    </w:p>
    <w:p>
      <w:pPr>
        <w:ind w:firstLine="640"/>
      </w:pPr>
      <w:r>
        <w:rPr>
          <w:rFonts w:hint="eastAsia"/>
        </w:rPr>
        <w:t>资格审查工作组将报名材料进行汇总，收齐投标供应商报名提交的资格审查相关材料，按照同一食材分组原则，对投标供应商进行归类分组。</w:t>
      </w:r>
    </w:p>
    <w:p>
      <w:pPr>
        <w:ind w:firstLine="640"/>
        <w:rPr>
          <w:rStyle w:val="44"/>
        </w:rPr>
      </w:pPr>
      <w:r>
        <w:rPr>
          <w:rStyle w:val="44"/>
          <w:rFonts w:hint="eastAsia"/>
        </w:rPr>
        <w:t>三、制定资格审查方案</w:t>
      </w:r>
    </w:p>
    <w:p>
      <w:pPr>
        <w:ind w:firstLine="640"/>
      </w:pPr>
      <w:r>
        <w:rPr>
          <w:rFonts w:hint="eastAsia"/>
        </w:rPr>
        <w:t>资格审查工作组采取随机抽取的方式，将资格审查工作小组与投标供应商分组进行匹配，研究确定资格审查日程安排，制定资格审查工作指引和工作要求，明确相关工作纪律，保证各工作小组在合理时间范围内规范、有序开展资格审查工作。资格审查的日程安排和人员信息必须严格保密。</w:t>
      </w:r>
    </w:p>
    <w:p>
      <w:pPr>
        <w:pStyle w:val="3"/>
        <w:ind w:firstLine="640"/>
      </w:pPr>
      <w:r>
        <w:rPr>
          <w:rFonts w:hint="eastAsia"/>
        </w:rPr>
        <w:t>四、现场考察</w:t>
      </w:r>
    </w:p>
    <w:p>
      <w:pPr>
        <w:ind w:firstLine="640"/>
      </w:pPr>
      <w:r>
        <w:rPr>
          <w:rFonts w:hint="eastAsia"/>
        </w:rPr>
        <w:t>（一）中小学食材招标工作组监督指导招标实施机构提前24小时通知投标供应商接受资格审查的时间、联系人、工作要求和廉政纪律。联系人由资格审查工作组的组长担任。</w:t>
      </w:r>
    </w:p>
    <w:p>
      <w:pPr>
        <w:ind w:firstLine="640"/>
      </w:pPr>
      <w:r>
        <w:rPr>
          <w:rFonts w:hint="eastAsia"/>
        </w:rPr>
        <w:t>廉政纪律内容须包括投标人不得向资格审查工作组成员提供任何劳务报酬和有可能影响公正资格审查的财物或其他不当利益。</w:t>
      </w:r>
    </w:p>
    <w:p>
      <w:pPr>
        <w:ind w:firstLine="640"/>
      </w:pPr>
      <w:r>
        <w:rPr>
          <w:rFonts w:hint="eastAsia"/>
        </w:rPr>
        <w:t>（二）招标实施机构统一安排车辆，组织资格审查工作小组全体成员集中乘车赴投标供应商加工经营场所。</w:t>
      </w:r>
    </w:p>
    <w:p>
      <w:pPr>
        <w:ind w:firstLine="640"/>
      </w:pPr>
      <w:r>
        <w:rPr>
          <w:rFonts w:hint="eastAsia"/>
        </w:rPr>
        <w:t>（三）资格审查工作小组成员从“阳光食堂”平台下载《资格审查现场考察表》（附件1）模板，根据食材分组制定对应的《资格审查现场考察表》，按要求开展实地考察。</w:t>
      </w:r>
    </w:p>
    <w:p>
      <w:pPr>
        <w:ind w:firstLine="640"/>
      </w:pPr>
      <w:r>
        <w:rPr>
          <w:rFonts w:hint="eastAsia"/>
        </w:rPr>
        <w:t>（四）资格审查工作小组所有成员分别认真如实填写《资格审查现场考察表》各项内容（不填写是否合格的审查结论），全部填写完毕且核验一致后，所有成员与投标供应商一起签字确认、在现场合影并上传“阳光食堂”平台。</w:t>
      </w:r>
    </w:p>
    <w:p>
      <w:pPr>
        <w:ind w:firstLine="640"/>
      </w:pPr>
      <w:r>
        <w:rPr>
          <w:rFonts w:hint="eastAsia"/>
        </w:rPr>
        <w:t>（五）投标供应商应配合资格审查，在《资格审查现场考察表》上签字确认。如有异议，应现场提出并处理，不能达成一致的，应在签字时注明情况。投标供应商拒绝在《资格审查现场考察表》上签字的，视为放弃投标。</w:t>
      </w:r>
    </w:p>
    <w:p>
      <w:pPr>
        <w:pStyle w:val="3"/>
        <w:ind w:firstLine="640"/>
      </w:pPr>
      <w:r>
        <w:rPr>
          <w:rFonts w:hint="eastAsia"/>
        </w:rPr>
        <w:t>五、集中评议</w:t>
      </w:r>
    </w:p>
    <w:p>
      <w:pPr>
        <w:ind w:firstLine="640"/>
      </w:pPr>
      <w:r>
        <w:rPr>
          <w:rFonts w:hint="eastAsia"/>
        </w:rPr>
        <w:t>（一）资格审查工作小组将现场考察形成的《资格审查现场考察表》等材料完整报送资格审查工作组，重点汇报投标供应商条件等与报名材料不一致的情况和存在的问题。</w:t>
      </w:r>
    </w:p>
    <w:p>
      <w:pPr>
        <w:ind w:firstLine="640"/>
      </w:pPr>
      <w:r>
        <w:rPr>
          <w:rFonts w:hint="eastAsia"/>
        </w:rPr>
        <w:t>（二）中小学食材招标工作组召开会议，工作组全体成员、各资格审查工作小组组长参加，对全部投标供应商资格逐个进行评议并形成是否合格的初步结论。</w:t>
      </w:r>
    </w:p>
    <w:p>
      <w:pPr>
        <w:ind w:firstLine="640"/>
      </w:pPr>
      <w:r>
        <w:rPr>
          <w:rFonts w:hint="eastAsia"/>
        </w:rPr>
        <w:t>（三）资格审查工作组将投标供应商资格审查初步结论反馈全部投标供应商、告知资格审查工作组全体成员，设7天意见反馈期。投标供应商如有申诉或投诉，由中小学食材招标工作组负责受理。资格审查工作组成员如有不同意见，由资格审查工作组负责受理。</w:t>
      </w:r>
    </w:p>
    <w:p>
      <w:pPr>
        <w:ind w:firstLine="640"/>
      </w:pPr>
      <w:r>
        <w:rPr>
          <w:rFonts w:hint="eastAsia"/>
        </w:rPr>
        <w:t xml:space="preserve">（四）意见反馈期结束后，中小学食材招标工作组召开会议，研究确定各食材分组投标供应商资格审查结果。参加会议人员为工作组全体成员、各资格审查工作小组组长。 </w:t>
      </w:r>
    </w:p>
    <w:p>
      <w:pPr>
        <w:pStyle w:val="3"/>
        <w:ind w:firstLine="640"/>
        <w:rPr>
          <w:color w:val="auto"/>
          <w:highlight w:val="none"/>
        </w:rPr>
      </w:pPr>
      <w:r>
        <w:rPr>
          <w:rFonts w:hint="eastAsia"/>
          <w:color w:val="auto"/>
          <w:highlight w:val="none"/>
        </w:rPr>
        <w:t>六、发布资格审查结果</w:t>
      </w:r>
    </w:p>
    <w:p>
      <w:pPr>
        <w:ind w:firstLine="640"/>
        <w:rPr>
          <w:color w:val="auto"/>
          <w:highlight w:val="none"/>
        </w:rPr>
      </w:pPr>
      <w:r>
        <w:rPr>
          <w:rFonts w:hint="eastAsia"/>
          <w:color w:val="auto"/>
          <w:highlight w:val="none"/>
        </w:rPr>
        <w:t>招标实施机构将资格审查结果书面通知全部投标供应商，投标供应商应签收或依法视同签收，招标实施机构保存相关证据。中小学食材招标工作组在“江苏省学校阳光食堂”网站</w:t>
      </w:r>
      <w:r>
        <w:rPr>
          <w:rFonts w:hint="eastAsia"/>
          <w:color w:val="auto"/>
          <w:highlight w:val="none"/>
          <w:lang w:val="en-US" w:eastAsia="zh-CN"/>
        </w:rPr>
        <w:t>发布</w:t>
      </w:r>
      <w:r>
        <w:rPr>
          <w:rFonts w:hint="eastAsia"/>
          <w:color w:val="auto"/>
          <w:highlight w:val="none"/>
        </w:rPr>
        <w:t>资格审查相关结果。</w:t>
      </w:r>
    </w:p>
    <w:p>
      <w:pPr>
        <w:pStyle w:val="47"/>
        <w:spacing w:before="570" w:after="219"/>
        <w:rPr>
          <w:rFonts w:cs="Times New Roman"/>
          <w:color w:val="auto"/>
        </w:rPr>
      </w:pPr>
      <w:r>
        <w:rPr>
          <w:rFonts w:hint="eastAsia" w:cs="Times New Roman"/>
          <w:color w:val="auto"/>
        </w:rPr>
        <w:t>第二部分“评标竞价”类食材的开标与评标工作</w:t>
      </w:r>
    </w:p>
    <w:p>
      <w:pPr>
        <w:pStyle w:val="47"/>
        <w:spacing w:before="570" w:after="219"/>
        <w:rPr>
          <w:rFonts w:cs="Times New Roman"/>
          <w:color w:val="auto"/>
        </w:rPr>
      </w:pPr>
      <w:r>
        <w:rPr>
          <w:rFonts w:hint="eastAsia" w:cs="Times New Roman"/>
          <w:color w:val="auto"/>
        </w:rPr>
        <w:t xml:space="preserve"> 第一章  开标</w:t>
      </w:r>
    </w:p>
    <w:p>
      <w:pPr>
        <w:ind w:firstLine="640"/>
      </w:pPr>
      <w:r>
        <w:rPr>
          <w:rFonts w:hint="eastAsia"/>
        </w:rPr>
        <w:t>资格审查结束后，由招标实施机构组织开标工作，具体流程包括组建开标监督组、检查投标文件、唱标、开标记录与投标文件交送。</w:t>
      </w:r>
    </w:p>
    <w:p>
      <w:pPr>
        <w:pStyle w:val="3"/>
        <w:ind w:firstLine="640"/>
      </w:pPr>
      <w:r>
        <w:rPr>
          <w:rFonts w:hint="eastAsia"/>
        </w:rPr>
        <w:t>一、组建开标监督组</w:t>
      </w:r>
    </w:p>
    <w:p>
      <w:pPr>
        <w:ind w:firstLine="640"/>
      </w:pPr>
      <w:r>
        <w:rPr>
          <w:rFonts w:hint="eastAsia"/>
        </w:rPr>
        <w:t>中小学食材招标工作组监督招标实施机构负责人邀请本地区教育局纪检监察部门人员、学校的食堂管理人员、家长志愿者，人数不少于7人，其中家长志愿者2人</w:t>
      </w:r>
      <w:r>
        <w:rPr>
          <w:rFonts w:hint="eastAsia" w:eastAsia="宋体"/>
        </w:rPr>
        <w:t>（</w:t>
      </w:r>
      <w:r>
        <w:t>由中小学食材招标工作组</w:t>
      </w:r>
      <w:r>
        <w:rPr>
          <w:rFonts w:hint="eastAsia"/>
        </w:rPr>
        <w:t>从学校在校生家长志愿者库中抽取</w:t>
      </w:r>
      <w:r>
        <w:rPr>
          <w:rFonts w:hint="eastAsia" w:eastAsia="宋体"/>
        </w:rPr>
        <w:t>）</w:t>
      </w:r>
      <w:r>
        <w:rPr>
          <w:rFonts w:hint="eastAsia"/>
        </w:rPr>
        <w:t>，组成开标监督组。</w:t>
      </w:r>
    </w:p>
    <w:p>
      <w:pPr>
        <w:pStyle w:val="3"/>
        <w:ind w:firstLine="640"/>
      </w:pPr>
      <w:r>
        <w:rPr>
          <w:rFonts w:hint="eastAsia"/>
        </w:rPr>
        <w:t>二、检查投标文件</w:t>
      </w:r>
    </w:p>
    <w:p>
      <w:pPr>
        <w:ind w:firstLine="640"/>
      </w:pPr>
      <w:r>
        <w:rPr>
          <w:rFonts w:hint="eastAsia"/>
        </w:rPr>
        <w:t>（一）入围供应商在招标文件中规定时间前提交投标文件，招标实施机构提前24小时通知入围供应商在指定时间到开标现场集中。</w:t>
      </w:r>
    </w:p>
    <w:p>
      <w:pPr>
        <w:ind w:firstLine="640"/>
      </w:pPr>
      <w:r>
        <w:rPr>
          <w:rFonts w:hint="eastAsia"/>
        </w:rPr>
        <w:t>（二）开标现场，在开标监督组监督下，合格供应商代表当众检查全部投标文件封装的完整性。如发现封装存在问题，立即报警处理，停止开标，由招标实施机构负全责。</w:t>
      </w:r>
    </w:p>
    <w:p>
      <w:pPr>
        <w:pStyle w:val="3"/>
        <w:ind w:firstLine="640"/>
      </w:pPr>
      <w:r>
        <w:rPr>
          <w:rFonts w:hint="eastAsia"/>
        </w:rPr>
        <w:t>三、唱标</w:t>
      </w:r>
    </w:p>
    <w:p>
      <w:pPr>
        <w:ind w:firstLine="640"/>
      </w:pPr>
      <w:r>
        <w:rPr>
          <w:rFonts w:hint="eastAsia"/>
        </w:rPr>
        <w:t>招标实施机构人员当众逐一打开投标文件，现场宣读投标文件中的投标价格等关键信息。</w:t>
      </w:r>
    </w:p>
    <w:p>
      <w:pPr>
        <w:pStyle w:val="3"/>
        <w:ind w:firstLine="640"/>
        <w:rPr>
          <w:rFonts w:eastAsia="黑体"/>
        </w:rPr>
      </w:pPr>
      <w:r>
        <w:rPr>
          <w:rFonts w:hint="eastAsia"/>
        </w:rPr>
        <w:t>四、开标记录与投标文件交送</w:t>
      </w:r>
    </w:p>
    <w:p>
      <w:pPr>
        <w:ind w:firstLine="640"/>
      </w:pPr>
      <w:r>
        <w:rPr>
          <w:rFonts w:hint="eastAsia"/>
        </w:rPr>
        <w:t>（一）招标实施机构工作人员现场填写开标记录，组织全体投标供应商和开标监督组成员在开标记录上签字。</w:t>
      </w:r>
    </w:p>
    <w:p>
      <w:pPr>
        <w:ind w:firstLine="640"/>
      </w:pPr>
      <w:r>
        <w:rPr>
          <w:rFonts w:hint="eastAsia"/>
        </w:rPr>
        <w:t>（二）在开标监督组监督下，招标实施机构工作人员将全部投标文件送达评标室。开标监督组成员及其他无关人员不得进入评标室。</w:t>
      </w:r>
    </w:p>
    <w:p>
      <w:pPr>
        <w:pStyle w:val="47"/>
        <w:spacing w:before="570" w:after="219"/>
        <w:rPr>
          <w:rFonts w:cs="Times New Roman"/>
          <w:color w:val="auto"/>
        </w:rPr>
      </w:pPr>
      <w:r>
        <w:rPr>
          <w:rFonts w:hint="eastAsia" w:cs="Times New Roman"/>
          <w:color w:val="auto"/>
        </w:rPr>
        <w:t>第二章  评标</w:t>
      </w:r>
    </w:p>
    <w:p>
      <w:pPr>
        <w:ind w:firstLine="640"/>
      </w:pPr>
      <w:r>
        <w:rPr>
          <w:rFonts w:hint="eastAsia"/>
        </w:rPr>
        <w:t>开标结束后，在中小学食材招标工作组场外监督下，招标实施机构组织开展评标工作，包括组建评标委员会、集中培训、分发投标文件和工作资料、现场打分、形成评标委员会结论、评标委员会资料归档。</w:t>
      </w:r>
    </w:p>
    <w:p>
      <w:pPr>
        <w:pStyle w:val="3"/>
        <w:ind w:firstLine="640"/>
      </w:pPr>
      <w:r>
        <w:rPr>
          <w:rFonts w:hint="eastAsia"/>
        </w:rPr>
        <w:t>一、组建评标委员会</w:t>
      </w:r>
    </w:p>
    <w:p>
      <w:pPr>
        <w:ind w:firstLine="640"/>
      </w:pPr>
      <w:r>
        <w:rPr>
          <w:rFonts w:hint="eastAsia"/>
        </w:rPr>
        <w:t>（一）中小学食材招标工作组监督采购人（中小学校食材采购联合体）代表在开标前48小时内从“阳光食堂”平台随机抽取评标专家，成员不少于11人，并由招标实施机构组建成为评标委员会。抽中人员由平台自动发送通知。评标委员会专家名单严格保密，不对任何无关人员透露。</w:t>
      </w:r>
    </w:p>
    <w:p>
      <w:pPr>
        <w:ind w:firstLine="640"/>
      </w:pPr>
      <w:r>
        <w:rPr>
          <w:rFonts w:hint="eastAsia"/>
        </w:rPr>
        <w:t>在开标前24小时，由“阳光食堂”平台按照中小学食材招标工作组监督招标实施机构预先提交的信息，将报到时间和地点自动通知给评标委员会全体人员，相关信息同步告知评标监督人员，所有工作严格保密，不对任何无关人员透露。然后在中小学食材招标工作组指定专人监督下，由招标实施机构负责人在“阳光食堂”平台下载评标委员会成员名单，指定专人在现场电话联系评标委员会所有成员，确认是否能按时报到。因故决定不能参加的成员，由工作人员在“阳光食堂”平台填写联系记录后，“阳光食堂”平台自动通知其在平台确认并说明原因。若评标委员会成员仍然不足11人，中小学食材招标工作组监督招标实施机构负责人按照流程继续在平台随机抽取并确认，直至人数满足规定。评标委员会专家也可根据实际情况委托招标</w:t>
      </w:r>
      <w:r>
        <w:rPr>
          <w:rFonts w:hint="eastAsia"/>
          <w:lang w:eastAsia="zh-CN"/>
        </w:rPr>
        <w:t>实施</w:t>
      </w:r>
      <w:r>
        <w:rPr>
          <w:rFonts w:hint="eastAsia"/>
        </w:rPr>
        <w:t>机构从省政府采购平台评审专家库按其相关流程规定抽取。</w:t>
      </w:r>
    </w:p>
    <w:p>
      <w:pPr>
        <w:ind w:firstLine="640"/>
      </w:pPr>
      <w:r>
        <w:rPr>
          <w:rFonts w:hint="eastAsia"/>
        </w:rPr>
        <w:t>（二）开标前1小时，评标委员会全体成员到评标准备室报到，在“阳光食堂”平台签到，集中前往评标室。</w:t>
      </w:r>
    </w:p>
    <w:p>
      <w:pPr>
        <w:ind w:firstLine="640"/>
      </w:pPr>
      <w:r>
        <w:rPr>
          <w:rFonts w:hint="eastAsia"/>
        </w:rPr>
        <w:t>（三）在评标室，按照保密管理规定，所有人员的手机、电脑等通讯电子设备不得带入现场，现场不得设置电话、网络等对外联络通道，现场应无死角、全程不间断进行影音监控记录。评标委员会全体成员共同推选组长，组长应为学校食堂招标采购评标委员会专家库成员。</w:t>
      </w:r>
    </w:p>
    <w:p>
      <w:pPr>
        <w:pStyle w:val="3"/>
        <w:ind w:firstLine="640"/>
      </w:pPr>
      <w:r>
        <w:rPr>
          <w:rFonts w:hint="eastAsia"/>
        </w:rPr>
        <w:t>二、集中培训</w:t>
      </w:r>
    </w:p>
    <w:p>
      <w:pPr>
        <w:ind w:firstLine="640"/>
      </w:pPr>
      <w:r>
        <w:rPr>
          <w:rFonts w:hint="eastAsia"/>
        </w:rPr>
        <w:t>由评标委员会组长牵头，招标实施机构现场人员配合，对评标委员会全体成员进行工作培训，培训内容包括评标纪律、评标规则、投标文件实质性要求审查、评分标准等。</w:t>
      </w:r>
    </w:p>
    <w:p>
      <w:pPr>
        <w:pStyle w:val="3"/>
        <w:ind w:firstLine="640"/>
      </w:pPr>
      <w:r>
        <w:rPr>
          <w:rFonts w:hint="eastAsia"/>
        </w:rPr>
        <w:t>三、分发投标文件和工作资料</w:t>
      </w:r>
    </w:p>
    <w:p>
      <w:pPr>
        <w:ind w:firstLine="640"/>
      </w:pPr>
      <w:r>
        <w:rPr>
          <w:rFonts w:hint="eastAsia"/>
        </w:rPr>
        <w:t>开标结束后，评标室工作人员将投标文件、《资格审查现场考察表》、评分办法等工作资料分发给评标委员会全体成员。</w:t>
      </w:r>
    </w:p>
    <w:p>
      <w:pPr>
        <w:ind w:firstLine="640"/>
      </w:pPr>
      <w:r>
        <w:rPr>
          <w:rFonts w:hint="eastAsia"/>
        </w:rPr>
        <w:t>“阳光食堂”平台按照统一规则分析计算投标人报价分值得分（总分50分）。招标实施机构工作人员在评标准备室下载平台形成的投标人报价分值得分汇总表、报价分值评分主要指标汇总表，以电子表格方式提供给每位评标委员会成员参考。</w:t>
      </w:r>
    </w:p>
    <w:p>
      <w:pPr>
        <w:pStyle w:val="3"/>
        <w:ind w:firstLine="640"/>
      </w:pPr>
      <w:r>
        <w:rPr>
          <w:rFonts w:hint="eastAsia"/>
        </w:rPr>
        <w:t>四、现场打分</w:t>
      </w:r>
    </w:p>
    <w:p>
      <w:pPr>
        <w:ind w:firstLine="640"/>
      </w:pPr>
      <w:r>
        <w:rPr>
          <w:rFonts w:hint="eastAsia"/>
        </w:rPr>
        <w:t>（一）评标委员会全体成员按照投标供应商列表先后次序，对供应商逐个进行资料审阅，对照“评标竞价”评分办法（附件2），认真比对佐证材料，详细、客观、独立逐项打分。如发现有作假行为，该项分值为零。</w:t>
      </w:r>
    </w:p>
    <w:p>
      <w:pPr>
        <w:ind w:firstLine="640"/>
      </w:pPr>
      <w:r>
        <w:rPr>
          <w:rFonts w:hint="eastAsia"/>
        </w:rPr>
        <w:t>（二）评标委员会各成员人手一份评分表，不相互讨论，完整填写评分表。评分时，不提问、不质疑，不得让评标委员会成员、招标实施机构工作人员以外的任何人员进入评标室。</w:t>
      </w:r>
    </w:p>
    <w:p>
      <w:pPr>
        <w:ind w:firstLine="640"/>
      </w:pPr>
      <w:r>
        <w:rPr>
          <w:rFonts w:hint="eastAsia"/>
        </w:rPr>
        <w:t>（三）评标委员会各成员完成评标后，认真检查评标项目的完整性，确保没有遗漏后，签字确认，将评分表提交现场工作人员。</w:t>
      </w:r>
    </w:p>
    <w:p>
      <w:pPr>
        <w:pStyle w:val="3"/>
        <w:ind w:firstLine="640"/>
      </w:pPr>
      <w:r>
        <w:rPr>
          <w:rFonts w:hint="eastAsia"/>
        </w:rPr>
        <w:t>五、形成评标委员会结论</w:t>
      </w:r>
    </w:p>
    <w:p>
      <w:pPr>
        <w:ind w:firstLine="640"/>
      </w:pPr>
      <w:r>
        <w:rPr>
          <w:rFonts w:hint="eastAsia"/>
        </w:rPr>
        <w:t>（一）在评标委员会全体成员、评标监督人见证下，现场工作人员汇总评分结果、生成评标结论。</w:t>
      </w:r>
    </w:p>
    <w:p>
      <w:pPr>
        <w:ind w:firstLine="640"/>
      </w:pPr>
      <w:r>
        <w:rPr>
          <w:rFonts w:hint="eastAsia"/>
        </w:rPr>
        <w:t>（二）评标委员会组长牵头撰写评标报告，内容应包括评标过程、评分情况、建议中标供应商等，以及对完善中小学食材公开招标工作组织实施的意见与建议。</w:t>
      </w:r>
    </w:p>
    <w:p>
      <w:pPr>
        <w:ind w:firstLine="640"/>
      </w:pPr>
      <w:r>
        <w:rPr>
          <w:rFonts w:hint="eastAsia"/>
        </w:rPr>
        <w:t>（三）中小学食材招标工作组在“江苏省学校阳光食堂”网站发布定价方式为“评标竞价”的各标段中标供应商名单。</w:t>
      </w:r>
    </w:p>
    <w:p>
      <w:pPr>
        <w:pStyle w:val="3"/>
        <w:ind w:firstLine="640"/>
      </w:pPr>
      <w:r>
        <w:rPr>
          <w:rFonts w:hint="eastAsia"/>
        </w:rPr>
        <w:t>六、评标委员会资料归档</w:t>
      </w:r>
    </w:p>
    <w:p>
      <w:pPr>
        <w:ind w:firstLine="640"/>
      </w:pPr>
      <w:r>
        <w:rPr>
          <w:rFonts w:hint="eastAsia"/>
        </w:rPr>
        <w:t>（一）形成评标委员会结论后，评标委员会全体成员立即到评标准备室合影，并连同评标报告上传“阳光食堂”平台存档。</w:t>
      </w:r>
    </w:p>
    <w:p>
      <w:pPr>
        <w:ind w:firstLine="640"/>
      </w:pPr>
      <w:r>
        <w:rPr>
          <w:rFonts w:hint="eastAsia"/>
        </w:rPr>
        <w:t>（二）招标实施机构工作人员，将招标、投标、资格审查、开标、评标委员会等相关书面资料（含现场影音记录）完整移交中小学食材招标工作组，交由同级教育部门存档备查。</w:t>
      </w:r>
    </w:p>
    <w:p>
      <w:pPr>
        <w:ind w:firstLine="640"/>
      </w:pPr>
    </w:p>
    <w:p>
      <w:pPr>
        <w:ind w:firstLine="0" w:firstLineChars="0"/>
        <w:jc w:val="center"/>
        <w:rPr>
          <w:rFonts w:ascii="黑体" w:hAnsi="黑体" w:eastAsia="黑体" w:cs="黑体"/>
        </w:rPr>
      </w:pPr>
      <w:r>
        <w:rPr>
          <w:rFonts w:hint="eastAsia" w:ascii="黑体" w:hAnsi="黑体" w:eastAsia="黑体" w:cs="黑体"/>
        </w:rPr>
        <w:t>第三部分 “实际竞价”类食材的开标工作</w:t>
      </w:r>
    </w:p>
    <w:p>
      <w:pPr>
        <w:numPr>
          <w:ilvl w:val="255"/>
          <w:numId w:val="0"/>
        </w:numPr>
      </w:pPr>
    </w:p>
    <w:p>
      <w:pPr>
        <w:pStyle w:val="3"/>
        <w:ind w:firstLine="640"/>
      </w:pPr>
      <w:r>
        <w:rPr>
          <w:rFonts w:hint="eastAsia"/>
        </w:rPr>
        <w:t>一、竞价邀请</w:t>
      </w:r>
    </w:p>
    <w:p>
      <w:pPr>
        <w:ind w:firstLine="640"/>
      </w:pPr>
      <w:r>
        <w:rPr>
          <w:rFonts w:hint="eastAsia"/>
        </w:rPr>
        <w:t>中小学食材招标工作组通过“阳光食堂”平台进行食材分组和学校分组（可划分</w:t>
      </w:r>
      <w:r>
        <w:rPr>
          <w:rFonts w:hint="eastAsia"/>
          <w:lang w:val="en-US" w:eastAsia="zh-CN"/>
        </w:rPr>
        <w:t>为</w:t>
      </w:r>
      <w:r>
        <w:rPr>
          <w:rFonts w:hint="eastAsia"/>
        </w:rPr>
        <w:t>多个中小学校食材采购联合体），互相匹配确定各食材标段。根据招标采购周期向所有入围供应商发布“实际竞价”邀请。</w:t>
      </w:r>
    </w:p>
    <w:p>
      <w:pPr>
        <w:pStyle w:val="3"/>
        <w:ind w:firstLine="640"/>
      </w:pPr>
      <w:r>
        <w:rPr>
          <w:rFonts w:hint="eastAsia"/>
        </w:rPr>
        <w:t>二、入围供应商报价</w:t>
      </w:r>
    </w:p>
    <w:p>
      <w:pPr>
        <w:ind w:firstLine="640"/>
      </w:pPr>
      <w:r>
        <w:rPr>
          <w:rFonts w:hint="eastAsia"/>
        </w:rPr>
        <w:t>所有入围供应商须根据竞价周期在规定时间内通过账号登录“阳光食堂”平台对供应范围内食材单品进行报价，报价应覆盖所投食材分组内全部需供货的食材且应在有效范围内。首次报价时需逐个填写单品食材价格，后续参与竞价时对已填写的价格进行维护，若无调整系统默认上次填报的价格。逾期不参加实际竞价的入围供应商，中小学食材招标工作组可扣减其服务分值，并按入围协议中相关约定扣除履约保证金。</w:t>
      </w:r>
    </w:p>
    <w:p>
      <w:pPr>
        <w:pStyle w:val="3"/>
        <w:ind w:firstLine="640"/>
      </w:pPr>
      <w:r>
        <w:rPr>
          <w:rFonts w:hint="eastAsia"/>
        </w:rPr>
        <w:t>三、系统评分</w:t>
      </w:r>
    </w:p>
    <w:p>
      <w:pPr>
        <w:ind w:firstLine="640"/>
      </w:pPr>
      <w:r>
        <w:rPr>
          <w:rFonts w:hint="eastAsia"/>
        </w:rPr>
        <w:t>报价截止后，平台按照“实际竞价”评分办法（附件3）自动评分，按最高得分且满足车辆运输能力值确定实际供货的供应商名单，供货价格以中标供应商报价为准。每个标段内实际供货供应商数量为1家，参与实际竞价的供应商数量应不少于3家。为保障学校食材供应，平台会对所有参与报价的供应商进行自动评分并排序。</w:t>
      </w:r>
    </w:p>
    <w:p>
      <w:pPr>
        <w:ind w:firstLine="640"/>
      </w:pPr>
      <w:r>
        <w:rPr>
          <w:rFonts w:hint="eastAsia"/>
        </w:rPr>
        <w:t>价格分计算完成后至正式开标前，平台预留</w:t>
      </w:r>
      <w:r>
        <w:t>1</w:t>
      </w:r>
      <w:r>
        <w:rPr>
          <w:rFonts w:hint="eastAsia"/>
        </w:rPr>
        <w:t>小时缓冲期，用以研究决定如某标段因参与招标的入围供应商数量较少，导致竞价不够充分，是否选择该标段进入废标流程；若选择废标，需重新启动该标段招标流程，发布新的招标周期。</w:t>
      </w:r>
    </w:p>
    <w:p>
      <w:pPr>
        <w:pStyle w:val="3"/>
        <w:ind w:firstLine="640"/>
      </w:pPr>
      <w:r>
        <w:rPr>
          <w:rFonts w:hint="eastAsia"/>
        </w:rPr>
        <w:t>四、确定中标结果</w:t>
      </w:r>
    </w:p>
    <w:p>
      <w:pPr>
        <w:ind w:firstLine="640"/>
      </w:pPr>
      <w:r>
        <w:rPr>
          <w:rFonts w:hint="eastAsia"/>
        </w:rPr>
        <w:t>在中小学食材招标工作组代表、学校工作人员、食堂管理人员、家长志愿者的</w:t>
      </w:r>
      <w:r>
        <w:t>监督</w:t>
      </w:r>
      <w:r>
        <w:rPr>
          <w:rFonts w:hint="eastAsia"/>
        </w:rPr>
        <w:t>下，</w:t>
      </w:r>
      <w:r>
        <w:t>由各</w:t>
      </w:r>
      <w:r>
        <w:rPr>
          <w:rFonts w:hint="eastAsia"/>
        </w:rPr>
        <w:t>标段采购联合体组长学校代表（中小学食材招标工作组在学校分组时设置）在开标时间登录学校食堂负责人账号，选择食材标段后，</w:t>
      </w:r>
      <w:r>
        <w:t>点击“开标”按钮</w:t>
      </w:r>
      <w:r>
        <w:rPr>
          <w:rFonts w:hint="eastAsia"/>
        </w:rPr>
        <w:t>。在</w:t>
      </w:r>
      <w:r>
        <w:t>2小时内</w:t>
      </w:r>
      <w:r>
        <w:rPr>
          <w:rFonts w:hint="eastAsia"/>
        </w:rPr>
        <w:t>点击的，</w:t>
      </w:r>
      <w:r>
        <w:t>系统根据各</w:t>
      </w:r>
      <w:r>
        <w:rPr>
          <w:rFonts w:hint="eastAsia"/>
        </w:rPr>
        <w:t>代表</w:t>
      </w:r>
      <w:r>
        <w:t>点击</w:t>
      </w:r>
      <w:r>
        <w:rPr>
          <w:rFonts w:hint="eastAsia"/>
        </w:rPr>
        <w:t>“开标”的先后</w:t>
      </w:r>
      <w:r>
        <w:t>顺序，依次产生各标段的中标供应商</w:t>
      </w:r>
      <w:r>
        <w:rPr>
          <w:rFonts w:hint="eastAsia"/>
        </w:rPr>
        <w:t>；</w:t>
      </w:r>
      <w:r>
        <w:t>2小时未</w:t>
      </w:r>
      <w:r>
        <w:rPr>
          <w:rFonts w:hint="eastAsia"/>
        </w:rPr>
        <w:t>被</w:t>
      </w:r>
      <w:r>
        <w:t>点击“开标”的</w:t>
      </w:r>
      <w:r>
        <w:rPr>
          <w:rFonts w:hint="eastAsia"/>
        </w:rPr>
        <w:t>标段</w:t>
      </w:r>
      <w:r>
        <w:t>，由系统自动</w:t>
      </w:r>
      <w:r>
        <w:rPr>
          <w:rFonts w:hint="eastAsia"/>
        </w:rPr>
        <w:t>按照“阳光食堂”平台</w:t>
      </w:r>
      <w:r>
        <w:t>内</w:t>
      </w:r>
      <w:r>
        <w:rPr>
          <w:rFonts w:hint="eastAsia"/>
        </w:rPr>
        <w:t>组长</w:t>
      </w:r>
      <w:r>
        <w:t>学校</w:t>
      </w:r>
      <w:r>
        <w:rPr>
          <w:rFonts w:hint="eastAsia"/>
        </w:rPr>
        <w:t>的</w:t>
      </w:r>
      <w:r>
        <w:t>排序</w:t>
      </w:r>
      <w:r>
        <w:rPr>
          <w:rFonts w:hint="eastAsia"/>
        </w:rPr>
        <w:t>依次对剩余与之匹配的标段进行系统</w:t>
      </w:r>
      <w:r>
        <w:t>开标。</w:t>
      </w:r>
    </w:p>
    <w:p>
      <w:pPr>
        <w:ind w:firstLine="640"/>
      </w:pPr>
      <w:r>
        <w:rPr>
          <w:rFonts w:hint="eastAsia"/>
        </w:rPr>
        <w:t>开标结束后，中小学食材招标工作组在“江苏省学校阳光食堂”网站发布“实际竞价”的各标段中标供应商名单。</w:t>
      </w:r>
    </w:p>
    <w:p>
      <w:pPr>
        <w:pStyle w:val="32"/>
        <w:ind w:left="0" w:leftChars="0" w:firstLine="0" w:firstLineChars="0"/>
        <w:rPr>
          <w:rFonts w:hint="default" w:cs="Times New Roman"/>
        </w:rPr>
      </w:pPr>
    </w:p>
    <w:p>
      <w:pPr>
        <w:pStyle w:val="32"/>
        <w:rPr>
          <w:rFonts w:hint="default"/>
        </w:rPr>
      </w:pPr>
      <w:r>
        <w:rPr>
          <w:rFonts w:cs="Times New Roman"/>
        </w:rPr>
        <w:t>附：</w:t>
      </w:r>
      <w:r>
        <w:rPr>
          <w:rFonts w:hint="default" w:cs="Times New Roman"/>
        </w:rPr>
        <w:t>1.</w:t>
      </w:r>
      <w:r>
        <w:rPr>
          <w:rFonts w:cs="Times New Roman"/>
        </w:rPr>
        <w:t>资格审查现场考察表</w:t>
      </w:r>
    </w:p>
    <w:p>
      <w:pPr>
        <w:pStyle w:val="31"/>
        <w:numPr>
          <w:ilvl w:val="0"/>
          <w:numId w:val="8"/>
        </w:numPr>
        <w:ind w:left="1600" w:leftChars="400"/>
        <w:rPr>
          <w:rFonts w:cs="Times New Roman"/>
        </w:rPr>
      </w:pPr>
      <w:r>
        <w:rPr>
          <w:rFonts w:hint="eastAsia" w:cs="Times New Roman"/>
        </w:rPr>
        <w:t>“评标竞价”评分办法</w:t>
      </w:r>
    </w:p>
    <w:p>
      <w:pPr>
        <w:pStyle w:val="31"/>
        <w:numPr>
          <w:ilvl w:val="0"/>
          <w:numId w:val="8"/>
        </w:numPr>
        <w:ind w:left="1600" w:leftChars="400"/>
        <w:rPr>
          <w:rFonts w:cs="Times New Roman"/>
        </w:rPr>
      </w:pPr>
      <w:r>
        <w:rPr>
          <w:rFonts w:hint="eastAsia" w:cs="Times New Roman"/>
        </w:rPr>
        <w:t>“实际竞价”评分办法</w:t>
      </w:r>
    </w:p>
    <w:p>
      <w:pPr>
        <w:spacing w:after="439"/>
        <w:ind w:firstLine="0" w:firstLineChars="0"/>
      </w:pPr>
      <w:r>
        <w:br w:type="page"/>
      </w:r>
      <w:r>
        <w:rPr>
          <w:rFonts w:hint="eastAsia"/>
        </w:rPr>
        <w:t>附</w:t>
      </w:r>
      <w:r>
        <w:t xml:space="preserve">1 </w:t>
      </w:r>
    </w:p>
    <w:p>
      <w:pPr>
        <w:pStyle w:val="8"/>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资格审查现场考察表</w:t>
      </w:r>
    </w:p>
    <w:p>
      <w:pPr>
        <w:ind w:firstLine="0" w:firstLineChars="0"/>
        <w:rPr>
          <w:sz w:val="24"/>
        </w:rPr>
      </w:pPr>
      <w:r>
        <w:rPr>
          <w:rFonts w:hint="eastAsia"/>
          <w:sz w:val="24"/>
        </w:rPr>
        <w:t>食材分组XXX：</w:t>
      </w:r>
      <w:r>
        <w:rPr>
          <w:sz w:val="24"/>
        </w:rPr>
        <w:t>XXX/XXX/XXX</w:t>
      </w:r>
      <w:r>
        <w:rPr>
          <w:rFonts w:hint="eastAsia"/>
          <w:sz w:val="28"/>
          <w:szCs w:val="28"/>
        </w:rPr>
        <w:t xml:space="preserve">               </w:t>
      </w:r>
      <w:r>
        <w:rPr>
          <w:rFonts w:hint="eastAsia"/>
          <w:sz w:val="24"/>
        </w:rPr>
        <w:t>投标供应商名称：</w:t>
      </w:r>
    </w:p>
    <w:tbl>
      <w:tblPr>
        <w:tblStyle w:val="23"/>
        <w:tblW w:w="5187" w:type="pct"/>
        <w:jc w:val="center"/>
        <w:tblLayout w:type="fixed"/>
        <w:tblCellMar>
          <w:top w:w="0" w:type="dxa"/>
          <w:left w:w="108" w:type="dxa"/>
          <w:bottom w:w="0" w:type="dxa"/>
          <w:right w:w="108" w:type="dxa"/>
        </w:tblCellMar>
      </w:tblPr>
      <w:tblGrid>
        <w:gridCol w:w="662"/>
        <w:gridCol w:w="2661"/>
        <w:gridCol w:w="2842"/>
        <w:gridCol w:w="1632"/>
        <w:gridCol w:w="1486"/>
      </w:tblGrid>
      <w:tr>
        <w:tblPrEx>
          <w:tblCellMar>
            <w:top w:w="0" w:type="dxa"/>
            <w:left w:w="108" w:type="dxa"/>
            <w:bottom w:w="0" w:type="dxa"/>
            <w:right w:w="108" w:type="dxa"/>
          </w:tblCellMar>
        </w:tblPrEx>
        <w:trPr>
          <w:trHeight w:val="568" w:hRule="atLeast"/>
          <w:tblHeader/>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rPr>
            </w:pPr>
            <w:r>
              <w:rPr>
                <w:rFonts w:hint="eastAsia" w:ascii="仿宋_GB2312" w:hAnsi="仿宋_GB2312" w:cs="仿宋_GB2312"/>
                <w:b/>
                <w:bCs/>
                <w:sz w:val="21"/>
                <w:szCs w:val="21"/>
                <w:lang w:bidi="ar"/>
              </w:rPr>
              <w:t>序号</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rPr>
            </w:pPr>
            <w:r>
              <w:rPr>
                <w:rFonts w:hint="eastAsia" w:ascii="仿宋_GB2312" w:hAnsi="仿宋_GB2312" w:cs="仿宋_GB2312"/>
                <w:b/>
                <w:bCs/>
                <w:sz w:val="21"/>
                <w:szCs w:val="21"/>
                <w:lang w:bidi="ar"/>
              </w:rPr>
              <w:t>投标人资格条件</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rPr>
            </w:pPr>
            <w:r>
              <w:rPr>
                <w:rFonts w:hint="eastAsia" w:ascii="仿宋_GB2312" w:hAnsi="仿宋_GB2312" w:cs="仿宋_GB2312"/>
                <w:b/>
                <w:bCs/>
                <w:sz w:val="21"/>
                <w:szCs w:val="21"/>
                <w:lang w:bidi="ar"/>
              </w:rPr>
              <w:t>审查内容及方式</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lang w:bidi="ar"/>
              </w:rPr>
            </w:pPr>
            <w:r>
              <w:rPr>
                <w:rFonts w:hint="eastAsia" w:ascii="仿宋_GB2312" w:hAnsi="仿宋_GB2312" w:cs="仿宋_GB2312"/>
                <w:b/>
                <w:bCs/>
                <w:sz w:val="21"/>
                <w:szCs w:val="21"/>
                <w:lang w:bidi="ar"/>
              </w:rPr>
              <w:t>审查情况</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b/>
                <w:bCs/>
                <w:sz w:val="21"/>
                <w:szCs w:val="21"/>
                <w:lang w:bidi="ar"/>
              </w:rPr>
            </w:pPr>
            <w:r>
              <w:rPr>
                <w:rFonts w:hint="eastAsia" w:ascii="仿宋_GB2312" w:hAnsi="仿宋_GB2312" w:cs="仿宋_GB2312"/>
                <w:b/>
                <w:bCs/>
                <w:sz w:val="21"/>
                <w:szCs w:val="21"/>
                <w:lang w:bidi="ar"/>
              </w:rPr>
              <w:t>适用食材大类</w:t>
            </w:r>
          </w:p>
        </w:tc>
      </w:tr>
      <w:tr>
        <w:tblPrEx>
          <w:tblCellMar>
            <w:top w:w="0" w:type="dxa"/>
            <w:left w:w="108" w:type="dxa"/>
            <w:bottom w:w="0" w:type="dxa"/>
            <w:right w:w="108" w:type="dxa"/>
          </w:tblCellMar>
        </w:tblPrEx>
        <w:trPr>
          <w:trHeight w:val="63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rPr>
            </w:pPr>
            <w:r>
              <w:rPr>
                <w:rFonts w:hint="eastAsia" w:ascii="仿宋_GB2312" w:hAnsi="仿宋_GB2312" w:cs="仿宋_GB2312"/>
                <w:sz w:val="21"/>
                <w:szCs w:val="21"/>
                <w:lang w:bidi="ar"/>
              </w:rPr>
              <w:t>1</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lang w:bidi="ar"/>
              </w:rPr>
              <w:t>投标人营业执照。</w:t>
            </w:r>
          </w:p>
        </w:tc>
        <w:tc>
          <w:tcPr>
            <w:tcW w:w="1531" w:type="pc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现场核查营业执照原件与投标人名称一致性</w:t>
            </w:r>
          </w:p>
        </w:tc>
        <w:tc>
          <w:tcPr>
            <w:tcW w:w="879"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left="420" w:hanging="420" w:hangingChars="200"/>
              <w:rPr>
                <w:rFonts w:ascii="仿宋_GB2312" w:hAnsi="仿宋_GB2312" w:cs="仿宋_GB2312"/>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63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rPr>
            </w:pPr>
            <w:r>
              <w:rPr>
                <w:rFonts w:hint="eastAsia" w:ascii="仿宋_GB2312" w:hAnsi="仿宋_GB2312" w:cs="仿宋_GB2312"/>
                <w:sz w:val="21"/>
                <w:szCs w:val="21"/>
                <w:lang w:bidi="ar"/>
              </w:rPr>
              <w:t>2</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法定代表人授权委托书。</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现场核查授权书原件及授权代表身份证原件</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left="420" w:hanging="420" w:hangingChars="200"/>
              <w:rPr>
                <w:rFonts w:ascii="仿宋_GB2312" w:hAnsi="仿宋_GB2312" w:cs="仿宋_GB2312"/>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63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3</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lang w:bidi="ar"/>
              </w:rPr>
              <w:t>《食品经营许可证》或市场监督管理部门的备案证明。</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lang w:bidi="ar"/>
              </w:rPr>
              <w:t>现场核查《食品经营许可证》或市场监督管理部门的备案证明</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left="420" w:hanging="420" w:hangingChars="200"/>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rPr>
            </w:pPr>
            <w:r>
              <w:rPr>
                <w:rFonts w:hint="eastAsia" w:ascii="仿宋_GB2312" w:hAnsi="仿宋_GB2312" w:cs="仿宋_GB2312"/>
                <w:sz w:val="21"/>
                <w:szCs w:val="21"/>
                <w:lang w:bidi="ar"/>
              </w:rPr>
              <w:t>4</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实际固定经营场所。</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现场核查</w:t>
            </w:r>
            <w:r>
              <w:rPr>
                <w:rFonts w:hint="eastAsia" w:ascii="仿宋_GB2312" w:hAnsi="仿宋_GB2312" w:cs="仿宋_GB2312"/>
                <w:sz w:val="21"/>
                <w:szCs w:val="21"/>
                <w:lang w:eastAsia="zh" w:bidi="ar"/>
              </w:rPr>
              <w:t>相关产权证明</w:t>
            </w:r>
            <w:r>
              <w:rPr>
                <w:rFonts w:hint="eastAsia" w:ascii="仿宋_GB2312" w:hAnsi="仿宋_GB2312" w:cs="仿宋_GB2312"/>
                <w:sz w:val="21"/>
                <w:szCs w:val="21"/>
                <w:lang w:bidi="ar"/>
              </w:rPr>
              <w:t>原件或仍在合同期内的租赁协议原件及出租方相关产权证明原件等</w:t>
            </w:r>
            <w:r>
              <w:rPr>
                <w:rFonts w:hint="eastAsia" w:ascii="仿宋_GB2312" w:hAnsi="仿宋_GB2312" w:cs="仿宋_GB2312"/>
                <w:sz w:val="21"/>
                <w:szCs w:val="21"/>
                <w:lang w:eastAsia="zh" w:bidi="ar"/>
              </w:rPr>
              <w:t>。</w:t>
            </w:r>
            <w:r>
              <w:rPr>
                <w:rFonts w:hint="eastAsia" w:ascii="仿宋_GB2312" w:hAnsi="仿宋_GB2312" w:cs="仿宋_GB2312"/>
                <w:sz w:val="21"/>
                <w:szCs w:val="21"/>
                <w:lang w:bidi="ar"/>
              </w:rPr>
              <w:t>（自有产权证明的所有人必须为投标人）</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5</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实际固定经营场所距离XXX开车在XX时以内（注：以百度地图、高德地图等地图软件显示的时间为准）。</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□符合，开车所需时间：</w:t>
            </w:r>
            <w:r>
              <w:rPr>
                <w:rFonts w:hint="eastAsia" w:ascii="仿宋_GB2312" w:hAnsi="仿宋_GB2312" w:cs="仿宋_GB2312"/>
                <w:sz w:val="21"/>
                <w:szCs w:val="21"/>
                <w:u w:val="wave"/>
              </w:rPr>
              <w:t xml:space="preserve">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6</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经营场所XXX米（含）内无粉尘、垃圾、厕所等污染源。</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7</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自有或租赁冷库面积不少于XXX平方米，冷库温度稳定，有温度记录仪。</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现场测量及现场核查相关产权证明原件或仍在合同期内的租赁协议原件及出租方相关产权证明原件等。（自有产权证明的所有人必须为投标人）</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 xml:space="preserve">□符合，实测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u w:val="wave"/>
              </w:rPr>
              <w:t xml:space="preserve">     </w:t>
            </w:r>
            <w:r>
              <w:rPr>
                <w:rFonts w:hint="eastAsia" w:ascii="仿宋_GB2312" w:hAnsi="仿宋_GB2312" w:cs="仿宋_GB2312"/>
                <w:sz w:val="21"/>
                <w:szCs w:val="21"/>
              </w:rPr>
              <w:t>平方米</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水果、蔬菜、豆/粮制品、禽肉蛋、牛羊肉、水产、猪肉、乳品、速冻食品</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8</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自有或租赁仓库面积不少于XX平方米。</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现场测量及现场核查相关产权证明原件或仍在合同期内的租赁协议原件及出租方相关产权证明原件等。（自有产权证明的所有人必须为投标人）</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 xml:space="preserve">□符合，实测   </w:t>
            </w:r>
          </w:p>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 xml:space="preserve">     平方米</w:t>
            </w:r>
          </w:p>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9</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kern w:val="0"/>
                <w:sz w:val="21"/>
                <w:szCs w:val="21"/>
              </w:rPr>
              <w:t>至少</w:t>
            </w:r>
            <w:r>
              <w:rPr>
                <w:kern w:val="0"/>
                <w:sz w:val="21"/>
                <w:szCs w:val="21"/>
              </w:rPr>
              <w:t>✕✕</w:t>
            </w:r>
            <w:r>
              <w:rPr>
                <w:rFonts w:hint="eastAsia"/>
                <w:kern w:val="0"/>
                <w:sz w:val="21"/>
                <w:szCs w:val="21"/>
              </w:rPr>
              <w:t>辆冷链运输厢式货车（冷藏0-4℃，冷冻-18℃以下），温度可实时监控。</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sz w:val="21"/>
                <w:szCs w:val="21"/>
              </w:rPr>
              <w:t>现场核查。</w:t>
            </w:r>
            <w:r>
              <w:rPr>
                <w:rFonts w:hint="eastAsia"/>
                <w:sz w:val="21"/>
                <w:szCs w:val="21"/>
              </w:rPr>
              <w:t>核查</w:t>
            </w:r>
            <w:r>
              <w:rPr>
                <w:sz w:val="21"/>
                <w:szCs w:val="21"/>
              </w:rPr>
              <w:t>车辆行驶证及登记证</w:t>
            </w:r>
            <w:r>
              <w:rPr>
                <w:rFonts w:hint="eastAsia"/>
                <w:sz w:val="21"/>
                <w:szCs w:val="21"/>
              </w:rPr>
              <w:t>（</w:t>
            </w:r>
            <w:r>
              <w:rPr>
                <w:sz w:val="21"/>
                <w:szCs w:val="21"/>
              </w:rPr>
              <w:t>需登记在投标人名下</w:t>
            </w:r>
            <w:r>
              <w:rPr>
                <w:rFonts w:hint="eastAsia"/>
                <w:sz w:val="21"/>
                <w:szCs w:val="21"/>
              </w:rPr>
              <w:t>）</w:t>
            </w:r>
            <w:r>
              <w:rPr>
                <w:sz w:val="21"/>
                <w:szCs w:val="21"/>
              </w:rPr>
              <w:t>，GPS定位系统和车厢内部视频监控</w:t>
            </w:r>
            <w:r>
              <w:rPr>
                <w:rFonts w:hint="eastAsia"/>
                <w:sz w:val="21"/>
                <w:szCs w:val="21"/>
              </w:rPr>
              <w:t>。</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 xml:space="preserve">车辆总数：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总吨数：</w:t>
            </w:r>
            <w:r>
              <w:rPr>
                <w:rFonts w:hint="eastAsia" w:ascii="仿宋_GB2312" w:hAnsi="仿宋_GB2312" w:cs="仿宋_GB2312"/>
                <w:sz w:val="21"/>
                <w:szCs w:val="21"/>
                <w:u w:val="wave"/>
              </w:rPr>
              <w:t xml:space="preserve">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水果、蔬菜、豆/粮制品、禽肉蛋、猪肉、牛羊肉、水产、乳品、速冻食品</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10</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kern w:val="0"/>
                <w:sz w:val="21"/>
                <w:szCs w:val="21"/>
              </w:rPr>
              <w:t>至少XX辆厢式货车。</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sz w:val="21"/>
                <w:szCs w:val="21"/>
              </w:rPr>
              <w:t>现场核查，核查车辆行驶证及登记证（需登记在投标人名下）</w:t>
            </w:r>
            <w:r>
              <w:rPr>
                <w:rFonts w:hint="eastAsia"/>
                <w:sz w:val="21"/>
                <w:szCs w:val="21"/>
              </w:rPr>
              <w:t>，</w:t>
            </w:r>
            <w:r>
              <w:rPr>
                <w:sz w:val="21"/>
                <w:szCs w:val="21"/>
              </w:rPr>
              <w:t>GPS定位系统和车厢内部视频监控</w:t>
            </w:r>
            <w:r>
              <w:rPr>
                <w:rFonts w:hint="eastAsia"/>
                <w:sz w:val="21"/>
                <w:szCs w:val="21"/>
              </w:rPr>
              <w:t>。</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 xml:space="preserve">车辆总数：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总吨数：</w:t>
            </w:r>
            <w:r>
              <w:rPr>
                <w:rFonts w:hint="eastAsia" w:ascii="仿宋_GB2312" w:hAnsi="仿宋_GB2312" w:cs="仿宋_GB2312"/>
                <w:sz w:val="21"/>
                <w:szCs w:val="21"/>
                <w:u w:val="wave"/>
              </w:rPr>
              <w:t xml:space="preserve">    </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11</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农药残留检测报告或通过自检设备提供自检报告。</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w:t>
            </w:r>
          </w:p>
        </w:tc>
      </w:tr>
      <w:tr>
        <w:tblPrEx>
          <w:tblCellMar>
            <w:top w:w="0" w:type="dxa"/>
            <w:left w:w="108" w:type="dxa"/>
            <w:bottom w:w="0" w:type="dxa"/>
            <w:right w:w="108" w:type="dxa"/>
          </w:tblCellMar>
        </w:tblPrEx>
        <w:trPr>
          <w:trHeight w:val="491"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12</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lang w:bidi="ar"/>
              </w:rPr>
              <w:t>具备分区域存储条件（如常温区、冷藏区)，具有水果保鲜能力，不同种类分开存放。</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r>
              <w:rPr>
                <w:rFonts w:hint="eastAsia" w:ascii="仿宋_GB2312" w:hAnsi="仿宋_GB2312" w:cs="仿宋_GB2312"/>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水果</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13</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rPr>
              <w:t>农残、重金属检测记录</w:t>
            </w:r>
            <w:r>
              <w:rPr>
                <w:rFonts w:hint="eastAsia"/>
                <w:kern w:val="0"/>
                <w:sz w:val="21"/>
                <w:szCs w:val="21"/>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rPr>
            </w:pPr>
            <w:r>
              <w:rPr>
                <w:rFonts w:hint="eastAsia"/>
                <w:kern w:val="0"/>
                <w:sz w:val="21"/>
                <w:szCs w:val="21"/>
              </w:rPr>
              <w:t>蔬菜</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14</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仓库划分收货、分拣、存储、打包等区域，仓库保持仓库干燥、通风和清洁，具有蔬菜保鲜能力</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rPr>
            </w:pPr>
            <w:r>
              <w:rPr>
                <w:rFonts w:hint="eastAsia"/>
                <w:kern w:val="0"/>
                <w:sz w:val="21"/>
                <w:szCs w:val="21"/>
              </w:rPr>
              <w:t>蔬菜</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15</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实际固定经营场所具有独立设置的肉类分割区</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16</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实际固定经营场所具有筐箱清洗消毒区</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17</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当日售卖肉类具有动物检疫合格证、肉品品质检验证</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18</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冷库温度稳定（冷冻-18℃以下，保鲜0-4℃），有温度记录仪</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水果、蔬菜、豆/粮制品、禽肉蛋、猪肉、牛羊肉、水产、乳品、速冻食品</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19</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加工车间清洁，有消毒设备</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20</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具有在售肉蛋产品从养殖到配送的全链条追溯信息，如批次号、生产日期。</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禽肉蛋、猪肉、牛羊肉</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21</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暂养池水质优、氧气供应充足</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水产</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22</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建立并执行进货查验记录制度，当日进货产品具有供应商提供的每批水产品的进货凭证（如发票、收据、送货单等）</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水产</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23</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有药残（如孔雀石绿）、微生物检测报告，符合水产品安全标准</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水产</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kern w:val="0"/>
                <w:sz w:val="21"/>
                <w:szCs w:val="21"/>
                <w:lang w:bidi="ar"/>
              </w:rPr>
            </w:pPr>
            <w:r>
              <w:rPr>
                <w:rFonts w:hint="eastAsia" w:ascii="仿宋_GB2312" w:hAnsi="仿宋_GB2312" w:cs="仿宋_GB2312"/>
                <w:sz w:val="21"/>
                <w:szCs w:val="21"/>
                <w:lang w:bidi="ar"/>
              </w:rPr>
              <w:t>24</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库存乳制品有乳蛋白、脂肪、微生物等检测报告</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乳品</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25</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检查库存商品包装密封、无破损，标签信息齐全（生产商、成分、保质期）</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26</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仓库干燥、通风，避免阳光直射；有防潮措施，设有防虫防鼠等措施</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米面油、干货调味品、水饮品、烘焙零食</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27</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检查冻品是否无解冻迹象、无冰霜堆积，包装无破损</w:t>
            </w:r>
            <w:r>
              <w:rPr>
                <w:rFonts w:hint="eastAsia"/>
                <w:kern w:val="0"/>
                <w:sz w:val="21"/>
                <w:szCs w:val="21"/>
                <w:lang w:bidi="ar"/>
              </w:rPr>
              <w:t>。</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kern w:val="0"/>
                <w:sz w:val="21"/>
                <w:szCs w:val="21"/>
                <w:lang w:bidi="ar"/>
              </w:rPr>
              <w:t>现场核查</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□符合</w:t>
            </w:r>
          </w:p>
          <w:p>
            <w:pPr>
              <w:spacing w:line="240" w:lineRule="auto"/>
              <w:ind w:firstLine="0" w:firstLineChars="0"/>
              <w:jc w:val="left"/>
              <w:textAlignment w:val="center"/>
              <w:rPr>
                <w:kern w:val="0"/>
                <w:sz w:val="21"/>
                <w:szCs w:val="21"/>
                <w:lang w:bidi="ar"/>
              </w:rPr>
            </w:pPr>
            <w:r>
              <w:rPr>
                <w:rFonts w:hint="eastAsia" w:ascii="仿宋_GB2312" w:hAnsi="仿宋_GB2312" w:cs="仿宋_GB2312"/>
                <w:sz w:val="21"/>
                <w:szCs w:val="21"/>
              </w:rPr>
              <w:t>□不符合</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kern w:val="0"/>
                <w:sz w:val="21"/>
                <w:szCs w:val="21"/>
                <w:lang w:bidi="ar"/>
              </w:rPr>
            </w:pPr>
            <w:r>
              <w:rPr>
                <w:rFonts w:hint="eastAsia"/>
                <w:kern w:val="0"/>
                <w:sz w:val="21"/>
                <w:szCs w:val="21"/>
                <w:lang w:bidi="ar"/>
              </w:rPr>
              <w:t>速冻食品</w:t>
            </w:r>
          </w:p>
        </w:tc>
      </w:tr>
      <w:tr>
        <w:tblPrEx>
          <w:tblCellMar>
            <w:top w:w="0" w:type="dxa"/>
            <w:left w:w="108" w:type="dxa"/>
            <w:bottom w:w="0" w:type="dxa"/>
            <w:right w:w="108" w:type="dxa"/>
          </w:tblCellMar>
        </w:tblPrEx>
        <w:trPr>
          <w:trHeight w:val="936"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28</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实际固定经营场所的功能区域、环境管理、</w:t>
            </w:r>
            <w:r>
              <w:rPr>
                <w:rFonts w:hint="eastAsia" w:ascii="仿宋_GB2312" w:hAnsi="仿宋_GB2312" w:cs="仿宋_GB2312"/>
                <w:sz w:val="21"/>
                <w:szCs w:val="21"/>
              </w:rPr>
              <w:t>设备管理、仓储管理、配送能力</w:t>
            </w: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rPr>
            </w:pPr>
            <w:r>
              <w:rPr>
                <w:rFonts w:hint="eastAsia" w:ascii="仿宋_GB2312" w:hAnsi="仿宋_GB2312" w:cs="仿宋_GB2312"/>
                <w:sz w:val="21"/>
                <w:szCs w:val="21"/>
                <w:lang w:bidi="ar"/>
              </w:rPr>
              <w:t>现场考察</w:t>
            </w: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kern w:val="0"/>
                <w:sz w:val="21"/>
                <w:szCs w:val="21"/>
              </w:rPr>
            </w:pPr>
            <w:r>
              <w:rPr>
                <w:rFonts w:hint="eastAsia" w:ascii="仿宋_GB2312" w:hAnsi="仿宋_GB2312" w:cs="仿宋_GB2312"/>
                <w:sz w:val="21"/>
                <w:szCs w:val="21"/>
              </w:rPr>
              <w:t>□</w:t>
            </w:r>
            <w:r>
              <w:rPr>
                <w:rFonts w:hint="eastAsia"/>
                <w:kern w:val="0"/>
                <w:sz w:val="21"/>
                <w:szCs w:val="21"/>
              </w:rPr>
              <w:t>完备</w:t>
            </w:r>
          </w:p>
          <w:p>
            <w:pPr>
              <w:spacing w:line="240" w:lineRule="auto"/>
              <w:ind w:firstLine="0" w:firstLineChars="0"/>
              <w:jc w:val="left"/>
              <w:rPr>
                <w:kern w:val="0"/>
                <w:sz w:val="21"/>
                <w:szCs w:val="21"/>
              </w:rPr>
            </w:pPr>
            <w:r>
              <w:rPr>
                <w:rFonts w:hint="eastAsia" w:ascii="仿宋_GB2312" w:hAnsi="仿宋_GB2312" w:cs="仿宋_GB2312"/>
                <w:sz w:val="21"/>
                <w:szCs w:val="21"/>
              </w:rPr>
              <w:t>□</w:t>
            </w:r>
            <w:r>
              <w:rPr>
                <w:rFonts w:hint="eastAsia"/>
                <w:kern w:val="0"/>
                <w:sz w:val="21"/>
                <w:szCs w:val="21"/>
              </w:rPr>
              <w:t>较完备</w:t>
            </w:r>
          </w:p>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w:t>
            </w:r>
            <w:r>
              <w:rPr>
                <w:rFonts w:hint="eastAsia"/>
                <w:kern w:val="0"/>
                <w:sz w:val="21"/>
                <w:szCs w:val="21"/>
              </w:rPr>
              <w:t>不完备</w:t>
            </w: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rPr>
                <w:rFonts w:ascii="仿宋_GB2312" w:hAnsi="仿宋_GB2312" w:cs="仿宋_GB2312"/>
                <w:sz w:val="21"/>
                <w:szCs w:val="21"/>
              </w:rPr>
            </w:pPr>
            <w:r>
              <w:rPr>
                <w:rFonts w:hint="eastAsia" w:ascii="仿宋_GB2312" w:hAnsi="仿宋_GB2312" w:cs="仿宋_GB2312"/>
                <w:sz w:val="21"/>
                <w:szCs w:val="21"/>
              </w:rPr>
              <w:t>全品类</w:t>
            </w:r>
          </w:p>
        </w:tc>
      </w:tr>
      <w:tr>
        <w:tblPrEx>
          <w:tblCellMar>
            <w:top w:w="0" w:type="dxa"/>
            <w:left w:w="108" w:type="dxa"/>
            <w:bottom w:w="0" w:type="dxa"/>
            <w:right w:w="108" w:type="dxa"/>
          </w:tblCellMar>
        </w:tblPrEx>
        <w:trPr>
          <w:trHeight w:val="530"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ascii="仿宋_GB2312" w:hAnsi="仿宋_GB2312" w:cs="仿宋_GB2312"/>
                <w:sz w:val="21"/>
                <w:szCs w:val="21"/>
                <w:lang w:bidi="ar"/>
              </w:rPr>
            </w:pPr>
            <w:r>
              <w:rPr>
                <w:rFonts w:hint="eastAsia" w:ascii="仿宋_GB2312" w:hAnsi="仿宋_GB2312" w:cs="仿宋_GB2312"/>
                <w:sz w:val="21"/>
                <w:szCs w:val="21"/>
                <w:lang w:bidi="ar"/>
              </w:rPr>
              <w:t>...</w:t>
            </w:r>
          </w:p>
        </w:tc>
        <w:tc>
          <w:tcPr>
            <w:tcW w:w="1433"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ascii="仿宋_GB2312" w:hAnsi="仿宋_GB2312" w:cs="仿宋_GB2312"/>
                <w:sz w:val="21"/>
                <w:szCs w:val="21"/>
                <w:lang w:bidi="ar"/>
              </w:rPr>
            </w:pPr>
          </w:p>
        </w:tc>
        <w:tc>
          <w:tcPr>
            <w:tcW w:w="1531"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textAlignment w:val="center"/>
              <w:rPr>
                <w:rFonts w:ascii="仿宋_GB2312" w:hAnsi="仿宋_GB2312" w:cs="仿宋_GB2312"/>
                <w:sz w:val="21"/>
                <w:szCs w:val="21"/>
                <w:lang w:bidi="ar"/>
              </w:rPr>
            </w:pPr>
          </w:p>
        </w:tc>
        <w:tc>
          <w:tcPr>
            <w:tcW w:w="879"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rPr>
                <w:rFonts w:ascii="仿宋_GB2312" w:hAnsi="仿宋_GB2312" w:cs="仿宋_GB2312"/>
                <w:sz w:val="21"/>
                <w:szCs w:val="21"/>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pPr>
              <w:spacing w:line="240" w:lineRule="auto"/>
              <w:jc w:val="left"/>
              <w:rPr>
                <w:rFonts w:ascii="仿宋_GB2312" w:hAnsi="仿宋_GB2312" w:cs="仿宋_GB2312"/>
                <w:sz w:val="21"/>
                <w:szCs w:val="21"/>
              </w:rPr>
            </w:pPr>
          </w:p>
        </w:tc>
      </w:tr>
    </w:tbl>
    <w:p>
      <w:pPr>
        <w:spacing w:before="219" w:beforeLines="50" w:line="240" w:lineRule="auto"/>
        <w:ind w:firstLine="0" w:firstLineChars="0"/>
        <w:jc w:val="left"/>
        <w:rPr>
          <w:rFonts w:eastAsia="楷体"/>
          <w:sz w:val="21"/>
          <w:szCs w:val="21"/>
        </w:rPr>
      </w:pPr>
      <w:r>
        <w:rPr>
          <w:rFonts w:hint="eastAsia" w:eastAsia="楷体"/>
          <w:sz w:val="21"/>
          <w:szCs w:val="21"/>
        </w:rPr>
        <w:t>注：各地可根据实际增加或删减相关信息。</w:t>
      </w:r>
    </w:p>
    <w:p>
      <w:pPr>
        <w:rPr>
          <w:sz w:val="24"/>
          <w:u w:val="wavyHeavy"/>
        </w:rPr>
      </w:pPr>
      <w:r>
        <w:rPr>
          <w:rFonts w:hint="eastAsia" w:eastAsia="黑体"/>
          <w:sz w:val="21"/>
          <w:szCs w:val="21"/>
        </w:rPr>
        <w:t>资格审查小组全体成员签字：</w:t>
      </w:r>
      <w:r>
        <w:rPr>
          <w:rFonts w:eastAsia="黑体"/>
          <w:sz w:val="21"/>
          <w:szCs w:val="21"/>
        </w:rPr>
        <w:t xml:space="preserve">                          </w:t>
      </w:r>
      <w:r>
        <w:rPr>
          <w:rFonts w:hint="eastAsia" w:eastAsia="黑体"/>
          <w:sz w:val="21"/>
          <w:szCs w:val="21"/>
        </w:rPr>
        <w:t>投标人签字：</w:t>
      </w:r>
    </w:p>
    <w:p>
      <w:pPr>
        <w:rPr>
          <w:rFonts w:eastAsia="黑体"/>
          <w:kern w:val="0"/>
          <w:sz w:val="21"/>
          <w:szCs w:val="21"/>
        </w:rPr>
      </w:pPr>
    </w:p>
    <w:p>
      <w:pPr>
        <w:rPr>
          <w:rFonts w:eastAsia="黑体"/>
          <w:kern w:val="0"/>
          <w:sz w:val="21"/>
          <w:szCs w:val="21"/>
        </w:rPr>
      </w:pPr>
    </w:p>
    <w:p>
      <w:pPr>
        <w:rPr>
          <w:rFonts w:eastAsia="黑体"/>
          <w:kern w:val="0"/>
          <w:sz w:val="21"/>
          <w:szCs w:val="21"/>
        </w:rPr>
      </w:pPr>
    </w:p>
    <w:p>
      <w:pPr>
        <w:ind w:firstLine="640"/>
      </w:pPr>
      <w:r>
        <w:br w:type="page"/>
      </w:r>
    </w:p>
    <w:p>
      <w:pPr>
        <w:pStyle w:val="36"/>
        <w:spacing w:after="439"/>
        <w:rPr>
          <w:rFonts w:cs="Times New Roman"/>
        </w:rPr>
      </w:pPr>
      <w:r>
        <w:rPr>
          <w:rFonts w:hint="eastAsia" w:cs="Times New Roman"/>
        </w:rPr>
        <w:t>附</w:t>
      </w:r>
      <w:r>
        <w:rPr>
          <w:rFonts w:cs="Times New Roman"/>
        </w:rPr>
        <w:t>2</w:t>
      </w:r>
    </w:p>
    <w:p>
      <w:pPr>
        <w:pStyle w:val="48"/>
        <w:widowControl w:val="0"/>
        <w:rPr>
          <w:rFonts w:cs="Times New Roman"/>
        </w:rPr>
      </w:pPr>
      <w:r>
        <w:rPr>
          <w:rFonts w:hint="eastAsia" w:cs="Times New Roman"/>
        </w:rPr>
        <w:t>“评标竞价”评分办法</w:t>
      </w:r>
    </w:p>
    <w:p>
      <w:pPr>
        <w:spacing w:line="360" w:lineRule="auto"/>
        <w:ind w:firstLine="640"/>
        <w:outlineLvl w:val="1"/>
        <w:rPr>
          <w:rFonts w:ascii="宋体" w:hAnsi="宋体" w:cs="Arial"/>
          <w:bCs/>
          <w:kern w:val="0"/>
          <w:szCs w:val="21"/>
        </w:rPr>
      </w:pPr>
    </w:p>
    <w:tbl>
      <w:tblPr>
        <w:tblStyle w:val="2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29"/>
        <w:gridCol w:w="669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序号</w:t>
            </w:r>
          </w:p>
        </w:tc>
        <w:tc>
          <w:tcPr>
            <w:tcW w:w="13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评分因素</w:t>
            </w:r>
          </w:p>
        </w:tc>
        <w:tc>
          <w:tcPr>
            <w:tcW w:w="6690"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2"/>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评分标准</w:t>
            </w:r>
          </w:p>
        </w:tc>
        <w:tc>
          <w:tcPr>
            <w:tcW w:w="73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1</w:t>
            </w:r>
          </w:p>
        </w:tc>
        <w:tc>
          <w:tcPr>
            <w:tcW w:w="1329" w:type="dxa"/>
            <w:tcBorders>
              <w:left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价格</w:t>
            </w:r>
          </w:p>
          <w:p>
            <w:pPr>
              <w:ind w:firstLine="0" w:firstLineChars="0"/>
              <w:jc w:val="center"/>
              <w:textAlignment w:val="center"/>
              <w:rPr>
                <w:rFonts w:ascii="宋体" w:hAnsi="宋体" w:eastAsia="宋体" w:cs="宋体"/>
                <w:b/>
                <w:bCs/>
                <w:kern w:val="0"/>
                <w:sz w:val="21"/>
                <w:szCs w:val="21"/>
                <w:lang w:bidi="ar"/>
              </w:rPr>
            </w:pPr>
            <w:r>
              <w:rPr>
                <w:rFonts w:hint="eastAsia" w:ascii="宋体" w:hAnsi="宋体" w:cs="宋体"/>
                <w:b/>
                <w:bCs/>
                <w:kern w:val="0"/>
                <w:sz w:val="21"/>
                <w:szCs w:val="21"/>
                <w:lang w:bidi="ar"/>
              </w:rPr>
              <w:t>50分</w:t>
            </w: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textAlignment w:val="center"/>
              <w:rPr>
                <w:rFonts w:ascii="仿宋_GB2312" w:hAnsi="仿宋_GB2312" w:cs="仿宋_GB2312"/>
                <w:sz w:val="21"/>
                <w:szCs w:val="21"/>
                <w:u w:val="wave"/>
              </w:rPr>
            </w:pPr>
            <w:r>
              <w:rPr>
                <w:rFonts w:hint="eastAsia" w:ascii="仿宋_GB2312" w:hAnsi="仿宋_GB2312" w:cs="仿宋_GB2312"/>
                <w:kern w:val="0"/>
                <w:sz w:val="21"/>
                <w:szCs w:val="21"/>
                <w:u w:val="wave"/>
                <w:lang w:bidi="ar"/>
              </w:rPr>
              <w:t>计算有效报价的算术平均值作为第一次基准价</w:t>
            </w:r>
            <w:r>
              <w:rPr>
                <w:rFonts w:ascii="仿宋_GB2312" w:hAnsi="仿宋_GB2312" w:cs="仿宋_GB2312"/>
                <w:kern w:val="0"/>
                <w:sz w:val="21"/>
                <w:szCs w:val="21"/>
                <w:u w:val="wave"/>
                <w:lang w:bidi="ar"/>
              </w:rPr>
              <w:t>P1</w:t>
            </w:r>
            <w:r>
              <w:rPr>
                <w:rFonts w:hint="eastAsia" w:ascii="仿宋_GB2312" w:hAnsi="仿宋_GB2312" w:cs="仿宋_GB2312"/>
                <w:kern w:val="0"/>
                <w:sz w:val="21"/>
                <w:szCs w:val="21"/>
                <w:u w:val="wave"/>
                <w:lang w:bidi="ar"/>
              </w:rPr>
              <w:t>【当有效投标文件≥</w:t>
            </w:r>
            <w:r>
              <w:rPr>
                <w:rFonts w:ascii="仿宋_GB2312" w:hAnsi="仿宋_GB2312" w:cs="仿宋_GB2312"/>
                <w:kern w:val="0"/>
                <w:sz w:val="21"/>
                <w:szCs w:val="21"/>
                <w:u w:val="wave"/>
                <w:lang w:bidi="ar"/>
              </w:rPr>
              <w:t>7</w:t>
            </w:r>
            <w:r>
              <w:rPr>
                <w:rFonts w:hint="eastAsia" w:ascii="仿宋_GB2312" w:hAnsi="仿宋_GB2312" w:cs="仿宋_GB2312"/>
                <w:kern w:val="0"/>
                <w:sz w:val="21"/>
                <w:szCs w:val="21"/>
                <w:u w:val="wave"/>
                <w:lang w:bidi="ar"/>
              </w:rPr>
              <w:t>家时，先剔除各报价中最高和最低的1</w:t>
            </w:r>
            <w:r>
              <w:rPr>
                <w:rFonts w:ascii="仿宋_GB2312" w:hAnsi="仿宋_GB2312" w:cs="仿宋_GB2312"/>
                <w:kern w:val="0"/>
                <w:sz w:val="21"/>
                <w:szCs w:val="21"/>
                <w:u w:val="wave"/>
                <w:lang w:bidi="ar"/>
              </w:rPr>
              <w:t>0%</w:t>
            </w:r>
            <w:r>
              <w:rPr>
                <w:rFonts w:hint="eastAsia" w:ascii="仿宋_GB2312" w:hAnsi="仿宋_GB2312" w:cs="仿宋_GB2312"/>
                <w:kern w:val="0"/>
                <w:sz w:val="21"/>
                <w:szCs w:val="21"/>
                <w:u w:val="wave"/>
                <w:lang w:bidi="ar"/>
              </w:rPr>
              <w:t>（四舍五入取整）后进行算术平均；当有效投标文件</w:t>
            </w:r>
            <w:r>
              <w:rPr>
                <w:rFonts w:ascii="仿宋_GB2312" w:hAnsi="仿宋_GB2312" w:cs="仿宋_GB2312"/>
                <w:kern w:val="0"/>
                <w:sz w:val="21"/>
                <w:szCs w:val="21"/>
                <w:u w:val="wave"/>
                <w:lang w:bidi="ar"/>
              </w:rPr>
              <w:t>4-6</w:t>
            </w:r>
            <w:r>
              <w:rPr>
                <w:rFonts w:hint="eastAsia" w:ascii="仿宋_GB2312" w:hAnsi="仿宋_GB2312" w:cs="仿宋_GB2312"/>
                <w:kern w:val="0"/>
                <w:sz w:val="21"/>
                <w:szCs w:val="21"/>
                <w:u w:val="wave"/>
                <w:lang w:bidi="ar"/>
              </w:rPr>
              <w:t>家时，剔除各报价中最高值后进行算术平均；当有效投标文件＜</w:t>
            </w:r>
            <w:r>
              <w:rPr>
                <w:rFonts w:ascii="仿宋_GB2312" w:hAnsi="仿宋_GB2312" w:cs="仿宋_GB2312"/>
                <w:kern w:val="0"/>
                <w:sz w:val="21"/>
                <w:szCs w:val="21"/>
                <w:u w:val="wave"/>
                <w:lang w:bidi="ar"/>
              </w:rPr>
              <w:t>4</w:t>
            </w:r>
            <w:r>
              <w:rPr>
                <w:rFonts w:hint="eastAsia" w:ascii="仿宋_GB2312" w:hAnsi="仿宋_GB2312" w:cs="仿宋_GB2312"/>
                <w:kern w:val="0"/>
                <w:sz w:val="21"/>
                <w:szCs w:val="21"/>
                <w:u w:val="wave"/>
                <w:lang w:bidi="ar"/>
              </w:rPr>
              <w:t>家时，取各报价中的次低值】，取低于</w:t>
            </w:r>
            <w:r>
              <w:rPr>
                <w:rFonts w:ascii="仿宋_GB2312" w:hAnsi="仿宋_GB2312" w:cs="仿宋_GB2312"/>
                <w:kern w:val="0"/>
                <w:sz w:val="21"/>
                <w:szCs w:val="21"/>
                <w:u w:val="wave"/>
                <w:lang w:bidi="ar"/>
              </w:rPr>
              <w:t>P1</w:t>
            </w:r>
            <w:r>
              <w:rPr>
                <w:rFonts w:hint="eastAsia" w:ascii="仿宋_GB2312" w:hAnsi="仿宋_GB2312" w:cs="仿宋_GB2312"/>
                <w:kern w:val="0"/>
                <w:sz w:val="21"/>
                <w:szCs w:val="21"/>
                <w:u w:val="wave"/>
                <w:lang w:bidi="ar"/>
              </w:rPr>
              <w:t>的有效报价计算第二次基准价</w:t>
            </w:r>
            <w:r>
              <w:rPr>
                <w:rFonts w:ascii="仿宋_GB2312" w:hAnsi="仿宋_GB2312" w:cs="仿宋_GB2312"/>
                <w:kern w:val="0"/>
                <w:sz w:val="21"/>
                <w:szCs w:val="21"/>
                <w:u w:val="wave"/>
                <w:lang w:bidi="ar"/>
              </w:rPr>
              <w:t>P2</w:t>
            </w:r>
            <w:r>
              <w:rPr>
                <w:rFonts w:hint="eastAsia" w:ascii="仿宋_GB2312" w:hAnsi="仿宋_GB2312" w:cs="仿宋_GB2312"/>
                <w:kern w:val="0"/>
                <w:sz w:val="21"/>
                <w:szCs w:val="21"/>
                <w:u w:val="wave"/>
                <w:lang w:bidi="ar"/>
              </w:rPr>
              <w:t>，取</w:t>
            </w:r>
            <w:r>
              <w:rPr>
                <w:rFonts w:ascii="仿宋_GB2312" w:hAnsi="仿宋_GB2312" w:cs="仿宋_GB2312"/>
                <w:kern w:val="0"/>
                <w:sz w:val="21"/>
                <w:szCs w:val="21"/>
                <w:u w:val="wave"/>
                <w:lang w:bidi="ar"/>
              </w:rPr>
              <w:t>P1</w:t>
            </w:r>
            <w:r>
              <w:rPr>
                <w:rFonts w:hint="eastAsia" w:ascii="仿宋_GB2312" w:hAnsi="仿宋_GB2312" w:cs="仿宋_GB2312"/>
                <w:kern w:val="0"/>
                <w:sz w:val="21"/>
                <w:szCs w:val="21"/>
                <w:u w:val="wave"/>
                <w:lang w:bidi="ar"/>
              </w:rPr>
              <w:t>与</w:t>
            </w:r>
            <w:r>
              <w:rPr>
                <w:rFonts w:ascii="仿宋_GB2312" w:hAnsi="仿宋_GB2312" w:cs="仿宋_GB2312"/>
                <w:kern w:val="0"/>
                <w:sz w:val="21"/>
                <w:szCs w:val="21"/>
                <w:u w:val="wave"/>
                <w:lang w:bidi="ar"/>
              </w:rPr>
              <w:t>P2</w:t>
            </w:r>
            <w:r>
              <w:rPr>
                <w:rFonts w:hint="eastAsia" w:ascii="仿宋_GB2312" w:hAnsi="仿宋_GB2312" w:cs="仿宋_GB2312"/>
                <w:kern w:val="0"/>
                <w:sz w:val="21"/>
                <w:szCs w:val="21"/>
                <w:u w:val="wave"/>
                <w:lang w:bidi="ar"/>
              </w:rPr>
              <w:t>的平均值作为评标基准价</w:t>
            </w:r>
            <w:r>
              <w:rPr>
                <w:rFonts w:ascii="仿宋_GB2312" w:hAnsi="仿宋_GB2312" w:cs="仿宋_GB2312"/>
                <w:kern w:val="0"/>
                <w:sz w:val="21"/>
                <w:szCs w:val="21"/>
                <w:u w:val="wave"/>
                <w:lang w:bidi="ar"/>
              </w:rPr>
              <w:t>P3</w:t>
            </w:r>
            <w:r>
              <w:rPr>
                <w:rFonts w:hint="eastAsia" w:ascii="仿宋_GB2312" w:hAnsi="仿宋_GB2312" w:cs="仿宋_GB2312"/>
                <w:kern w:val="0"/>
                <w:sz w:val="21"/>
                <w:szCs w:val="21"/>
                <w:u w:val="wave"/>
                <w:lang w:bidi="ar"/>
              </w:rPr>
              <w:t>。投标报价等于评标基准价</w:t>
            </w:r>
            <w:r>
              <w:rPr>
                <w:rFonts w:ascii="仿宋_GB2312" w:hAnsi="仿宋_GB2312" w:cs="仿宋_GB2312"/>
                <w:kern w:val="0"/>
                <w:sz w:val="21"/>
                <w:szCs w:val="21"/>
                <w:u w:val="wave"/>
                <w:lang w:bidi="ar"/>
              </w:rPr>
              <w:t>P3</w:t>
            </w:r>
            <w:r>
              <w:rPr>
                <w:rFonts w:hint="eastAsia" w:ascii="仿宋_GB2312" w:hAnsi="仿宋_GB2312" w:cs="仿宋_GB2312"/>
                <w:kern w:val="0"/>
                <w:sz w:val="21"/>
                <w:szCs w:val="21"/>
                <w:u w:val="wave"/>
                <w:lang w:bidi="ar"/>
              </w:rPr>
              <w:t>的得</w:t>
            </w:r>
            <w:r>
              <w:rPr>
                <w:rFonts w:ascii="仿宋_GB2312" w:hAnsi="仿宋_GB2312" w:cs="仿宋_GB2312"/>
                <w:kern w:val="0"/>
                <w:sz w:val="21"/>
                <w:szCs w:val="21"/>
                <w:u w:val="wave"/>
                <w:lang w:bidi="ar"/>
              </w:rPr>
              <w:t>50</w:t>
            </w:r>
            <w:r>
              <w:rPr>
                <w:rFonts w:hint="eastAsia" w:ascii="仿宋_GB2312" w:hAnsi="仿宋_GB2312" w:cs="仿宋_GB2312"/>
                <w:kern w:val="0"/>
                <w:sz w:val="21"/>
                <w:szCs w:val="21"/>
                <w:u w:val="wave"/>
                <w:lang w:bidi="ar"/>
              </w:rPr>
              <w:t>分；投标报价介于评标基准价</w:t>
            </w:r>
            <w:r>
              <w:rPr>
                <w:rFonts w:ascii="仿宋_GB2312" w:hAnsi="仿宋_GB2312" w:cs="仿宋_GB2312"/>
                <w:kern w:val="0"/>
                <w:sz w:val="21"/>
                <w:szCs w:val="21"/>
                <w:u w:val="wave"/>
                <w:lang w:bidi="ar"/>
              </w:rPr>
              <w:t>P1</w:t>
            </w:r>
            <w:r>
              <w:rPr>
                <w:rFonts w:hint="eastAsia" w:ascii="仿宋_GB2312" w:hAnsi="仿宋_GB2312" w:cs="仿宋_GB2312"/>
                <w:kern w:val="0"/>
                <w:sz w:val="21"/>
                <w:szCs w:val="21"/>
                <w:u w:val="wave"/>
                <w:lang w:bidi="ar"/>
              </w:rPr>
              <w:t>和评标基准价</w:t>
            </w:r>
            <w:r>
              <w:rPr>
                <w:rFonts w:ascii="仿宋_GB2312" w:hAnsi="仿宋_GB2312" w:cs="仿宋_GB2312"/>
                <w:kern w:val="0"/>
                <w:sz w:val="21"/>
                <w:szCs w:val="21"/>
                <w:u w:val="wave"/>
                <w:lang w:bidi="ar"/>
              </w:rPr>
              <w:t>P2</w:t>
            </w:r>
            <w:r>
              <w:rPr>
                <w:rFonts w:hint="eastAsia" w:ascii="仿宋_GB2312" w:hAnsi="仿宋_GB2312" w:cs="仿宋_GB2312"/>
                <w:kern w:val="0"/>
                <w:sz w:val="21"/>
                <w:szCs w:val="21"/>
                <w:u w:val="wave"/>
                <w:lang w:bidi="ar"/>
              </w:rPr>
              <w:t>之间的部分，每偏离评标基准价</w:t>
            </w:r>
            <w:r>
              <w:rPr>
                <w:rFonts w:ascii="仿宋_GB2312" w:hAnsi="仿宋_GB2312" w:cs="仿宋_GB2312"/>
                <w:kern w:val="0"/>
                <w:sz w:val="21"/>
                <w:szCs w:val="21"/>
                <w:u w:val="wave"/>
                <w:lang w:bidi="ar"/>
              </w:rPr>
              <w:t>P3</w:t>
            </w:r>
            <w:r>
              <w:rPr>
                <w:rFonts w:hint="eastAsia" w:ascii="仿宋_GB2312" w:hAnsi="仿宋_GB2312" w:cs="仿宋_GB2312"/>
                <w:kern w:val="0"/>
                <w:sz w:val="21"/>
                <w:szCs w:val="21"/>
                <w:u w:val="wave"/>
                <w:lang w:bidi="ar"/>
              </w:rPr>
              <w:t>的</w:t>
            </w:r>
            <w:r>
              <w:rPr>
                <w:rFonts w:ascii="仿宋_GB2312" w:hAnsi="仿宋_GB2312" w:cs="仿宋_GB2312"/>
                <w:kern w:val="0"/>
                <w:sz w:val="21"/>
                <w:szCs w:val="21"/>
                <w:u w:val="wave"/>
                <w:lang w:bidi="ar"/>
              </w:rPr>
              <w:t>1%</w:t>
            </w:r>
            <w:r>
              <w:rPr>
                <w:rFonts w:hint="eastAsia" w:ascii="仿宋_GB2312" w:hAnsi="仿宋_GB2312" w:cs="仿宋_GB2312"/>
                <w:kern w:val="0"/>
                <w:sz w:val="21"/>
                <w:szCs w:val="21"/>
                <w:u w:val="wave"/>
                <w:lang w:bidi="ar"/>
              </w:rPr>
              <w:t>扣</w:t>
            </w:r>
            <w:r>
              <w:rPr>
                <w:rFonts w:ascii="仿宋_GB2312" w:hAnsi="仿宋_GB2312" w:cs="仿宋_GB2312"/>
                <w:kern w:val="0"/>
                <w:sz w:val="21"/>
                <w:szCs w:val="21"/>
                <w:u w:val="wave"/>
                <w:lang w:bidi="ar"/>
              </w:rPr>
              <w:t>1</w:t>
            </w:r>
            <w:r>
              <w:rPr>
                <w:rFonts w:hint="eastAsia" w:ascii="仿宋_GB2312" w:hAnsi="仿宋_GB2312" w:cs="仿宋_GB2312"/>
                <w:kern w:val="0"/>
                <w:sz w:val="21"/>
                <w:szCs w:val="21"/>
                <w:u w:val="wave"/>
                <w:lang w:bidi="ar"/>
              </w:rPr>
              <w:t>分；投标报价高于评标基准价</w:t>
            </w:r>
            <w:r>
              <w:rPr>
                <w:rFonts w:ascii="仿宋_GB2312" w:hAnsi="仿宋_GB2312" w:cs="仿宋_GB2312"/>
                <w:kern w:val="0"/>
                <w:sz w:val="21"/>
                <w:szCs w:val="21"/>
                <w:u w:val="wave"/>
                <w:lang w:bidi="ar"/>
              </w:rPr>
              <w:t>P1</w:t>
            </w:r>
            <w:r>
              <w:rPr>
                <w:rFonts w:hint="eastAsia" w:ascii="仿宋_GB2312" w:hAnsi="仿宋_GB2312" w:cs="仿宋_GB2312"/>
                <w:kern w:val="0"/>
                <w:sz w:val="21"/>
                <w:szCs w:val="21"/>
                <w:u w:val="wave"/>
                <w:lang w:bidi="ar"/>
              </w:rPr>
              <w:t>或低于评标基准价</w:t>
            </w:r>
            <w:r>
              <w:rPr>
                <w:rFonts w:ascii="仿宋_GB2312" w:hAnsi="仿宋_GB2312" w:cs="仿宋_GB2312"/>
                <w:kern w:val="0"/>
                <w:sz w:val="21"/>
                <w:szCs w:val="21"/>
                <w:u w:val="wave"/>
                <w:lang w:bidi="ar"/>
              </w:rPr>
              <w:t>P2</w:t>
            </w:r>
            <w:r>
              <w:rPr>
                <w:rFonts w:hint="eastAsia" w:ascii="仿宋_GB2312" w:hAnsi="仿宋_GB2312" w:cs="仿宋_GB2312"/>
                <w:kern w:val="0"/>
                <w:sz w:val="21"/>
                <w:szCs w:val="21"/>
                <w:u w:val="wave"/>
                <w:lang w:bidi="ar"/>
              </w:rPr>
              <w:t>的部分，每偏离基准价</w:t>
            </w:r>
            <w:r>
              <w:rPr>
                <w:rFonts w:ascii="仿宋_GB2312" w:hAnsi="仿宋_GB2312" w:cs="仿宋_GB2312"/>
                <w:kern w:val="0"/>
                <w:sz w:val="21"/>
                <w:szCs w:val="21"/>
                <w:u w:val="wave"/>
                <w:lang w:bidi="ar"/>
              </w:rPr>
              <w:t>P3</w:t>
            </w:r>
            <w:r>
              <w:rPr>
                <w:rFonts w:hint="eastAsia" w:ascii="仿宋_GB2312" w:hAnsi="仿宋_GB2312" w:cs="仿宋_GB2312"/>
                <w:kern w:val="0"/>
                <w:sz w:val="21"/>
                <w:szCs w:val="21"/>
                <w:u w:val="wave"/>
                <w:lang w:bidi="ar"/>
              </w:rPr>
              <w:t>的</w:t>
            </w:r>
            <w:r>
              <w:rPr>
                <w:rFonts w:ascii="仿宋_GB2312" w:hAnsi="仿宋_GB2312" w:cs="仿宋_GB2312"/>
                <w:kern w:val="0"/>
                <w:sz w:val="21"/>
                <w:szCs w:val="21"/>
                <w:u w:val="wave"/>
                <w:lang w:bidi="ar"/>
              </w:rPr>
              <w:t>1%</w:t>
            </w:r>
            <w:r>
              <w:rPr>
                <w:rFonts w:hint="eastAsia" w:ascii="仿宋_GB2312" w:hAnsi="仿宋_GB2312" w:cs="仿宋_GB2312"/>
                <w:kern w:val="0"/>
                <w:sz w:val="21"/>
                <w:szCs w:val="21"/>
                <w:u w:val="wave"/>
                <w:lang w:bidi="ar"/>
              </w:rPr>
              <w:t>扣</w:t>
            </w:r>
            <w:r>
              <w:rPr>
                <w:rFonts w:ascii="仿宋_GB2312" w:hAnsi="仿宋_GB2312" w:cs="仿宋_GB2312"/>
                <w:kern w:val="0"/>
                <w:sz w:val="21"/>
                <w:szCs w:val="21"/>
                <w:u w:val="wave"/>
                <w:lang w:bidi="ar"/>
              </w:rPr>
              <w:t>1.5</w:t>
            </w:r>
            <w:r>
              <w:rPr>
                <w:rFonts w:hint="eastAsia" w:ascii="仿宋_GB2312" w:hAnsi="仿宋_GB2312" w:cs="仿宋_GB2312"/>
                <w:kern w:val="0"/>
                <w:sz w:val="21"/>
                <w:szCs w:val="21"/>
                <w:u w:val="wave"/>
                <w:lang w:bidi="ar"/>
              </w:rPr>
              <w:t>分，偏离不足</w:t>
            </w:r>
            <w:r>
              <w:rPr>
                <w:rFonts w:ascii="仿宋_GB2312" w:hAnsi="仿宋_GB2312" w:cs="仿宋_GB2312"/>
                <w:kern w:val="0"/>
                <w:sz w:val="21"/>
                <w:szCs w:val="21"/>
                <w:u w:val="wave"/>
                <w:lang w:bidi="ar"/>
              </w:rPr>
              <w:t>1%</w:t>
            </w:r>
            <w:r>
              <w:rPr>
                <w:rFonts w:hint="eastAsia" w:ascii="仿宋_GB2312" w:hAnsi="仿宋_GB2312" w:cs="仿宋_GB2312"/>
                <w:kern w:val="0"/>
                <w:sz w:val="21"/>
                <w:szCs w:val="21"/>
                <w:u w:val="wave"/>
                <w:lang w:bidi="ar"/>
              </w:rPr>
              <w:t>的，用插入法计算。</w:t>
            </w:r>
            <w:r>
              <w:rPr>
                <w:rFonts w:ascii="仿宋_GB2312" w:hAnsi="仿宋_GB2312" w:cs="仿宋_GB2312"/>
                <w:kern w:val="0"/>
                <w:sz w:val="21"/>
                <w:szCs w:val="21"/>
                <w:u w:val="wave"/>
                <w:lang w:bidi="ar"/>
              </w:rPr>
              <w:br w:type="textWrapping"/>
            </w:r>
            <w:r>
              <w:rPr>
                <w:rFonts w:hint="eastAsia" w:ascii="仿宋_GB2312" w:hAnsi="仿宋_GB2312" w:cs="仿宋_GB2312"/>
                <w:kern w:val="0"/>
                <w:sz w:val="21"/>
                <w:szCs w:val="21"/>
                <w:u w:val="wave"/>
                <w:lang w:bidi="ar"/>
              </w:rPr>
              <w:t>注：</w:t>
            </w:r>
            <w:r>
              <w:rPr>
                <w:rFonts w:hint="eastAsia" w:ascii="仿宋_GB2312" w:hAnsi="仿宋_GB2312" w:cs="仿宋_GB2312"/>
                <w:kern w:val="0"/>
                <w:sz w:val="21"/>
                <w:szCs w:val="21"/>
                <w:u w:val="wave"/>
                <w:lang w:bidi="ar"/>
              </w:rPr>
              <w:br w:type="textWrapping"/>
            </w:r>
            <w:r>
              <w:rPr>
                <w:rFonts w:hint="eastAsia" w:ascii="仿宋_GB2312" w:hAnsi="仿宋_GB2312" w:cs="仿宋_GB2312"/>
                <w:kern w:val="0"/>
                <w:sz w:val="21"/>
                <w:szCs w:val="21"/>
                <w:u w:val="wave"/>
                <w:lang w:bidi="ar"/>
              </w:rPr>
              <w:t>（1）有效投标文件是指未被评标委员会评定为无效标的投标文件。</w:t>
            </w:r>
            <w:r>
              <w:rPr>
                <w:rFonts w:hint="eastAsia" w:ascii="仿宋_GB2312" w:hAnsi="仿宋_GB2312" w:cs="仿宋_GB2312"/>
                <w:kern w:val="0"/>
                <w:sz w:val="21"/>
                <w:szCs w:val="21"/>
                <w:u w:val="wave"/>
                <w:lang w:bidi="ar"/>
              </w:rPr>
              <w:br w:type="textWrapping"/>
            </w:r>
            <w:r>
              <w:rPr>
                <w:rFonts w:hint="eastAsia" w:ascii="仿宋_GB2312" w:hAnsi="仿宋_GB2312" w:cs="仿宋_GB2312"/>
                <w:kern w:val="0"/>
                <w:sz w:val="21"/>
                <w:szCs w:val="21"/>
                <w:u w:val="wave"/>
                <w:lang w:bidi="ar"/>
              </w:rPr>
              <w:t>（2）评标委员会在评标委员会过程中，发现投标人的报价明显低于其他投标报价，使得其投标报价可能低于其个别成本的，应当要求该投标当事人作出书面说明并提供相关证明材料。投标人不能合理说明或者不能提供相关证明材料的，由评委委员会认定该投标人低于成本价竞标，应当否决其投标。</w:t>
            </w:r>
            <w:r>
              <w:rPr>
                <w:rFonts w:hint="eastAsia" w:ascii="仿宋_GB2312" w:hAnsi="仿宋_GB2312" w:cs="仿宋_GB2312"/>
                <w:kern w:val="0"/>
                <w:sz w:val="21"/>
                <w:szCs w:val="21"/>
                <w:u w:val="wave"/>
                <w:lang w:bidi="ar"/>
              </w:rPr>
              <w:br w:type="textWrapping"/>
            </w:r>
            <w:r>
              <w:rPr>
                <w:rFonts w:hint="eastAsia" w:ascii="仿宋_GB2312" w:hAnsi="仿宋_GB2312" w:cs="仿宋_GB2312"/>
                <w:kern w:val="0"/>
                <w:sz w:val="21"/>
                <w:szCs w:val="21"/>
                <w:u w:val="wave"/>
                <w:lang w:bidi="ar"/>
              </w:rPr>
              <w:t>（3）评标后基准价调整方式：不因任何情形而改变。</w:t>
            </w:r>
          </w:p>
        </w:tc>
        <w:tc>
          <w:tcPr>
            <w:tcW w:w="739" w:type="dxa"/>
            <w:tcBorders>
              <w:left w:val="single" w:color="auto" w:sz="4" w:space="0"/>
              <w:right w:val="single" w:color="auto" w:sz="4" w:space="0"/>
            </w:tcBorders>
            <w:vAlign w:val="center"/>
          </w:tcPr>
          <w:p>
            <w:pPr>
              <w:ind w:firstLine="0" w:firstLineChars="0"/>
              <w:jc w:val="center"/>
              <w:textAlignment w:val="center"/>
              <w:rPr>
                <w:rFonts w:ascii="宋体" w:hAnsi="宋体" w:cs="微软雅黑"/>
                <w:kern w:val="0"/>
                <w:szCs w:val="21"/>
              </w:rPr>
            </w:pPr>
            <w:r>
              <w:rPr>
                <w:rFonts w:hint="eastAsia" w:ascii="宋体" w:hAnsi="宋体" w:cs="宋体"/>
                <w:kern w:val="0"/>
                <w:sz w:val="21"/>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b/>
                <w:bCs/>
                <w:kern w:val="0"/>
                <w:szCs w:val="21"/>
              </w:rPr>
            </w:pPr>
            <w:r>
              <w:rPr>
                <w:rFonts w:hint="eastAsia" w:ascii="宋体" w:hAnsi="宋体" w:eastAsia="宋体" w:cs="宋体"/>
                <w:b/>
                <w:bCs/>
                <w:kern w:val="0"/>
                <w:sz w:val="21"/>
                <w:szCs w:val="21"/>
                <w:lang w:bidi="ar"/>
              </w:rPr>
              <w:t>2</w:t>
            </w:r>
          </w:p>
        </w:tc>
        <w:tc>
          <w:tcPr>
            <w:tcW w:w="1329" w:type="dxa"/>
            <w:tcBorders>
              <w:left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食材品质</w:t>
            </w:r>
          </w:p>
          <w:p>
            <w:pPr>
              <w:ind w:firstLine="0" w:firstLineChars="0"/>
              <w:jc w:val="center"/>
              <w:textAlignment w:val="center"/>
              <w:rPr>
                <w:rFonts w:ascii="宋体" w:hAnsi="宋体" w:eastAsia="宋体" w:cs="宋体"/>
                <w:b/>
                <w:bCs/>
                <w:kern w:val="0"/>
                <w:sz w:val="21"/>
                <w:szCs w:val="21"/>
                <w:lang w:bidi="ar"/>
              </w:rPr>
            </w:pPr>
            <w:r>
              <w:rPr>
                <w:rFonts w:hint="eastAsia" w:ascii="宋体" w:hAnsi="宋体" w:cs="宋体"/>
                <w:b/>
                <w:bCs/>
                <w:kern w:val="0"/>
                <w:sz w:val="21"/>
                <w:szCs w:val="21"/>
                <w:lang w:bidi="ar"/>
              </w:rPr>
              <w:t>10分</w:t>
            </w: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评委根据投标人针对学校食材采购要求，提供相关食材品质的保障及证明材料，材料中包括但不限于“中国驰名商标”“绿色食品”“有机食品”等国家级认证、产品溯源体系、产品品牌信息等各项因素综合评分：</w:t>
            </w:r>
          </w:p>
          <w:p>
            <w:pPr>
              <w:spacing w:line="360" w:lineRule="auto"/>
              <w:ind w:firstLine="0" w:firstLineChars="0"/>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产品综合质量好、产品溯源体系清晰，产品品牌知名、产品认证完备且能够切实保证服务质量的得10分；</w:t>
            </w:r>
          </w:p>
          <w:p>
            <w:pPr>
              <w:spacing w:line="360" w:lineRule="auto"/>
              <w:ind w:firstLine="0" w:firstLineChars="0"/>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产品质量一般、产品溯源体系基本完整，主要环节信息齐全，产品品牌为大众熟知的得7分；</w:t>
            </w:r>
          </w:p>
          <w:p>
            <w:pPr>
              <w:spacing w:line="360" w:lineRule="auto"/>
              <w:ind w:firstLine="0" w:firstLineChars="0"/>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产品质量基本达标、产品溯源体系中部分环节记录缺失或不规范，产品品牌有一定认知度，但范围有限的得4分；</w:t>
            </w:r>
          </w:p>
          <w:p>
            <w:pPr>
              <w:spacing w:line="360" w:lineRule="auto"/>
              <w:ind w:firstLine="0" w:firstLineChars="0"/>
              <w:jc w:val="left"/>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产品质量欠佳、产品溯源体系模糊，产品品牌无相关认证的得1分；</w:t>
            </w:r>
          </w:p>
          <w:p>
            <w:pPr>
              <w:spacing w:line="360" w:lineRule="auto"/>
              <w:ind w:firstLine="0" w:firstLineChars="0"/>
              <w:jc w:val="left"/>
              <w:textAlignment w:val="center"/>
              <w:rPr>
                <w:rFonts w:ascii="仿宋_GB2312" w:hAnsi="仿宋_GB2312" w:cs="仿宋_GB2312"/>
                <w:sz w:val="21"/>
                <w:szCs w:val="21"/>
                <w:u w:val="wave"/>
              </w:rPr>
            </w:pPr>
            <w:r>
              <w:rPr>
                <w:rFonts w:hint="eastAsia" w:ascii="仿宋_GB2312" w:hAnsi="仿宋_GB2312" w:cs="仿宋_GB2312"/>
                <w:kern w:val="0"/>
                <w:sz w:val="21"/>
                <w:szCs w:val="21"/>
                <w:lang w:bidi="ar"/>
              </w:rPr>
              <w:t>未提供方案的不得分。</w:t>
            </w:r>
          </w:p>
        </w:tc>
        <w:tc>
          <w:tcPr>
            <w:tcW w:w="739" w:type="dxa"/>
            <w:tcBorders>
              <w:left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3.1</w:t>
            </w:r>
          </w:p>
        </w:tc>
        <w:tc>
          <w:tcPr>
            <w:tcW w:w="1329" w:type="dxa"/>
            <w:vMerge w:val="restart"/>
            <w:tcBorders>
              <w:left w:val="single" w:color="auto" w:sz="4" w:space="0"/>
              <w:right w:val="single" w:color="auto" w:sz="4" w:space="0"/>
            </w:tcBorders>
            <w:vAlign w:val="center"/>
          </w:tcPr>
          <w:p>
            <w:pPr>
              <w:ind w:firstLine="0" w:firstLineChars="0"/>
              <w:textAlignment w:val="center"/>
              <w:rPr>
                <w:rFonts w:ascii="宋体" w:hAnsi="宋体" w:eastAsia="宋体" w:cs="宋体"/>
                <w:b/>
                <w:bCs/>
                <w:kern w:val="0"/>
                <w:sz w:val="21"/>
                <w:szCs w:val="21"/>
                <w:lang w:bidi="ar"/>
              </w:rPr>
            </w:pPr>
          </w:p>
          <w:p>
            <w:pPr>
              <w:ind w:firstLine="0" w:firstLineChars="0"/>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服务方案</w:t>
            </w:r>
            <w:r>
              <w:rPr>
                <w:rFonts w:hint="eastAsia" w:ascii="宋体" w:hAnsi="宋体" w:eastAsia="宋体" w:cs="宋体"/>
                <w:b/>
                <w:bCs/>
                <w:kern w:val="0"/>
                <w:sz w:val="21"/>
                <w:szCs w:val="21"/>
                <w:lang w:bidi="ar"/>
              </w:rPr>
              <w:br w:type="textWrapping"/>
            </w:r>
            <w:r>
              <w:rPr>
                <w:rFonts w:hint="eastAsia" w:ascii="宋体" w:hAnsi="宋体" w:cs="宋体"/>
                <w:b/>
                <w:bCs/>
                <w:kern w:val="0"/>
                <w:sz w:val="21"/>
                <w:szCs w:val="21"/>
                <w:lang w:bidi="ar"/>
              </w:rPr>
              <w:t>9</w:t>
            </w:r>
            <w:r>
              <w:rPr>
                <w:rFonts w:hint="eastAsia" w:ascii="宋体" w:hAnsi="宋体" w:eastAsia="宋体" w:cs="宋体"/>
                <w:b/>
                <w:bCs/>
                <w:kern w:val="0"/>
                <w:sz w:val="21"/>
                <w:szCs w:val="21"/>
                <w:lang w:bidi="ar"/>
              </w:rPr>
              <w:t>分</w:t>
            </w: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b/>
                <w:bCs/>
                <w:kern w:val="0"/>
                <w:sz w:val="21"/>
                <w:szCs w:val="21"/>
                <w:lang w:bidi="ar"/>
              </w:rPr>
              <w:t>供货服务方案：</w:t>
            </w:r>
            <w:r>
              <w:rPr>
                <w:rFonts w:hint="eastAsia" w:ascii="仿宋_GB2312" w:hAnsi="仿宋_GB2312" w:cs="仿宋_GB2312"/>
                <w:kern w:val="0"/>
                <w:sz w:val="21"/>
                <w:szCs w:val="21"/>
                <w:lang w:bidi="ar"/>
              </w:rPr>
              <w:t>评委根据投标人针对学校食材采购要求，制定科学、合理、优质的供货服务方案，供货服务方案中包括但不限于车辆配置、人员安排、服务流程、应急处置、特色服务、安全保障、质量保障等各项因素综合评分：</w:t>
            </w:r>
          </w:p>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方案全面合理、可操作性强且能够切实保证服务质量的得3分；</w:t>
            </w:r>
          </w:p>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方案齐全、具有实际可操作性的得2分；</w:t>
            </w:r>
          </w:p>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方案有欠缺、条理不清晰的得1分；</w:t>
            </w:r>
          </w:p>
          <w:p>
            <w:pPr>
              <w:spacing w:line="360" w:lineRule="auto"/>
              <w:ind w:firstLine="0" w:firstLineChars="0"/>
              <w:textAlignment w:val="center"/>
              <w:rPr>
                <w:rFonts w:ascii="仿宋_GB2312" w:hAnsi="仿宋_GB2312" w:cs="仿宋_GB2312"/>
                <w:kern w:val="0"/>
                <w:sz w:val="21"/>
                <w:szCs w:val="21"/>
              </w:rPr>
            </w:pPr>
            <w:r>
              <w:rPr>
                <w:rFonts w:hint="eastAsia" w:ascii="仿宋_GB2312" w:hAnsi="仿宋_GB2312" w:cs="仿宋_GB2312"/>
                <w:kern w:val="0"/>
                <w:sz w:val="21"/>
                <w:szCs w:val="21"/>
                <w:lang w:bidi="ar"/>
              </w:rPr>
              <w:t>未提供方案的不得分。</w:t>
            </w:r>
          </w:p>
        </w:tc>
        <w:tc>
          <w:tcPr>
            <w:tcW w:w="739" w:type="dxa"/>
            <w:tcBorders>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3.2</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kern w:val="0"/>
                <w:sz w:val="21"/>
                <w:szCs w:val="21"/>
              </w:rPr>
            </w:pPr>
            <w:r>
              <w:rPr>
                <w:rFonts w:hint="eastAsia" w:ascii="仿宋_GB2312" w:hAnsi="仿宋_GB2312" w:cs="仿宋_GB2312"/>
                <w:b/>
                <w:bCs/>
                <w:kern w:val="0"/>
                <w:sz w:val="21"/>
                <w:szCs w:val="21"/>
                <w:lang w:bidi="ar"/>
              </w:rPr>
              <w:t>配送管理方案：</w:t>
            </w:r>
            <w:r>
              <w:rPr>
                <w:rFonts w:hint="eastAsia" w:ascii="仿宋_GB2312" w:hAnsi="仿宋_GB2312" w:cs="仿宋_GB2312"/>
                <w:kern w:val="0"/>
                <w:sz w:val="21"/>
                <w:szCs w:val="21"/>
                <w:lang w:bidi="ar"/>
              </w:rPr>
              <w:t>评委根据投标人提供的商品配送管理方案（包括但不限于配送能力、服务流程、特色服务、库存不足解决方案，以及配送过程中安全保障措施等）进行综合评分：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方案全面合理、可操作性强且能够保证每日及时送货的得3分；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方案齐全、具有实际可操作性的得2分；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方案有欠缺、条理不清晰的得1分；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未提供方案的不得分。</w:t>
            </w:r>
          </w:p>
        </w:tc>
        <w:tc>
          <w:tcPr>
            <w:tcW w:w="739" w:type="dxa"/>
            <w:tcBorders>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3.3</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left"/>
              <w:textAlignment w:val="center"/>
              <w:rPr>
                <w:rFonts w:ascii="仿宋_GB2312" w:hAnsi="仿宋_GB2312" w:cs="仿宋_GB2312"/>
                <w:kern w:val="0"/>
                <w:sz w:val="21"/>
                <w:szCs w:val="21"/>
                <w:lang w:bidi="ar"/>
              </w:rPr>
            </w:pPr>
            <w:r>
              <w:rPr>
                <w:rFonts w:hint="eastAsia" w:ascii="仿宋_GB2312" w:hAnsi="仿宋_GB2312" w:cs="仿宋_GB2312"/>
                <w:b/>
                <w:bCs/>
                <w:kern w:val="0"/>
                <w:sz w:val="21"/>
                <w:szCs w:val="21"/>
                <w:lang w:bidi="ar"/>
              </w:rPr>
              <w:t>采购渠道方案：</w:t>
            </w:r>
            <w:r>
              <w:rPr>
                <w:rFonts w:hint="eastAsia" w:ascii="仿宋_GB2312" w:hAnsi="仿宋_GB2312" w:cs="仿宋_GB2312"/>
                <w:kern w:val="0"/>
                <w:sz w:val="21"/>
                <w:szCs w:val="21"/>
                <w:lang w:bidi="ar"/>
              </w:rPr>
              <w:t>评委根据投标人提供的供货渠道（可提供产品来源渠道说明或证明、产品品牌质量或经销资质、进货发票或合同等相关证明材料）进行综合评分：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所供货品具有可追溯性供货渠道正规，供货渠道能够保证货品质量较优的得3分；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供货渠道正规，质量符合采购要求得2分；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供货渠道不清晰，质量基本符合采购要求得1分；</w:t>
            </w:r>
          </w:p>
          <w:p>
            <w:pPr>
              <w:spacing w:line="360" w:lineRule="auto"/>
              <w:ind w:firstLine="0" w:firstLineChars="0"/>
              <w:jc w:val="left"/>
              <w:textAlignment w:val="center"/>
              <w:rPr>
                <w:rFonts w:ascii="仿宋_GB2312" w:hAnsi="仿宋_GB2312" w:cs="仿宋_GB2312"/>
                <w:kern w:val="0"/>
                <w:sz w:val="21"/>
                <w:szCs w:val="21"/>
              </w:rPr>
            </w:pPr>
            <w:r>
              <w:rPr>
                <w:rFonts w:hint="eastAsia" w:ascii="仿宋_GB2312" w:hAnsi="仿宋_GB2312" w:cs="仿宋_GB2312"/>
                <w:kern w:val="0"/>
                <w:sz w:val="21"/>
                <w:szCs w:val="21"/>
                <w:lang w:bidi="ar"/>
              </w:rPr>
              <w:t>未提供不得分。</w:t>
            </w:r>
          </w:p>
        </w:tc>
        <w:tc>
          <w:tcPr>
            <w:tcW w:w="739" w:type="dxa"/>
            <w:tcBorders>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4.1</w:t>
            </w:r>
          </w:p>
        </w:tc>
        <w:tc>
          <w:tcPr>
            <w:tcW w:w="1329" w:type="dxa"/>
            <w:vMerge w:val="restart"/>
            <w:tcBorders>
              <w:left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eastAsia="宋体" w:cs="宋体"/>
                <w:b/>
                <w:bCs/>
                <w:kern w:val="0"/>
                <w:sz w:val="21"/>
                <w:szCs w:val="21"/>
                <w:lang w:bidi="ar"/>
              </w:rPr>
            </w:pPr>
          </w:p>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企业实力</w:t>
            </w:r>
            <w:r>
              <w:rPr>
                <w:rFonts w:hint="eastAsia" w:ascii="宋体" w:hAnsi="宋体" w:eastAsia="宋体" w:cs="宋体"/>
                <w:b/>
                <w:bCs/>
                <w:kern w:val="0"/>
                <w:sz w:val="21"/>
                <w:szCs w:val="21"/>
                <w:lang w:bidi="ar"/>
              </w:rPr>
              <w:br w:type="textWrapping"/>
            </w:r>
            <w:r>
              <w:rPr>
                <w:rFonts w:hint="eastAsia" w:ascii="宋体" w:hAnsi="宋体" w:cs="宋体"/>
                <w:b/>
                <w:bCs/>
                <w:kern w:val="0"/>
                <w:sz w:val="21"/>
                <w:szCs w:val="21"/>
                <w:lang w:bidi="ar"/>
              </w:rPr>
              <w:t>16</w:t>
            </w:r>
            <w:r>
              <w:rPr>
                <w:rFonts w:hint="eastAsia" w:ascii="宋体" w:hAnsi="宋体" w:eastAsia="宋体" w:cs="宋体"/>
                <w:b/>
                <w:bCs/>
                <w:kern w:val="0"/>
                <w:sz w:val="21"/>
                <w:szCs w:val="21"/>
                <w:lang w:bidi="ar"/>
              </w:rPr>
              <w:t>分</w:t>
            </w: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2"/>
              <w:textAlignment w:val="center"/>
              <w:rPr>
                <w:rFonts w:ascii="仿宋_GB2312" w:hAnsi="仿宋_GB2312" w:cs="仿宋_GB2312"/>
                <w:kern w:val="0"/>
                <w:sz w:val="21"/>
                <w:szCs w:val="21"/>
              </w:rPr>
            </w:pPr>
            <w:r>
              <w:rPr>
                <w:rFonts w:hint="eastAsia" w:ascii="仿宋_GB2312" w:hAnsi="仿宋_GB2312" w:cs="仿宋_GB2312"/>
                <w:b/>
                <w:bCs/>
                <w:kern w:val="0"/>
                <w:sz w:val="21"/>
                <w:szCs w:val="21"/>
                <w:lang w:bidi="ar"/>
              </w:rPr>
              <w:t>配送能力：</w:t>
            </w:r>
            <w:r>
              <w:rPr>
                <w:rFonts w:hint="eastAsia" w:ascii="仿宋_GB2312" w:hAnsi="仿宋_GB2312" w:cs="仿宋_GB2312"/>
                <w:kern w:val="0"/>
                <w:sz w:val="21"/>
                <w:szCs w:val="21"/>
                <w:lang w:bidi="ar"/>
              </w:rPr>
              <w:t>投标人提供可用于货物配送的自有配送车辆证明，</w:t>
            </w:r>
            <w:r>
              <w:rPr>
                <w:rFonts w:hint="eastAsia" w:ascii="仿宋_GB2312" w:hAnsi="仿宋_GB2312" w:cs="仿宋_GB2312"/>
                <w:b/>
                <w:bCs/>
                <w:kern w:val="0"/>
                <w:sz w:val="21"/>
                <w:szCs w:val="21"/>
                <w:lang w:bidi="ar"/>
              </w:rPr>
              <w:t>（根据标段需求车辆设为厢式货车或</w:t>
            </w:r>
            <w:r>
              <w:rPr>
                <w:rFonts w:hint="eastAsia" w:ascii="仿宋_GB2312" w:hAnsi="仿宋_GB2312" w:cs="仿宋_GB2312"/>
                <w:b/>
                <w:bCs/>
                <w:kern w:val="0"/>
                <w:sz w:val="21"/>
                <w:szCs w:val="21"/>
              </w:rPr>
              <w:t>冷链运输厢式货车</w:t>
            </w:r>
            <w:r>
              <w:rPr>
                <w:rFonts w:hint="eastAsia" w:ascii="仿宋_GB2312" w:hAnsi="仿宋_GB2312" w:cs="仿宋_GB2312"/>
                <w:b/>
                <w:bCs/>
                <w:kern w:val="0"/>
                <w:sz w:val="21"/>
                <w:szCs w:val="21"/>
                <w:lang w:bidi="ar"/>
              </w:rPr>
              <w:t>）</w:t>
            </w:r>
            <w:r>
              <w:rPr>
                <w:rFonts w:hint="eastAsia" w:ascii="仿宋_GB2312" w:hAnsi="仿宋_GB2312" w:cs="仿宋_GB2312"/>
                <w:kern w:val="0"/>
                <w:sz w:val="21"/>
                <w:szCs w:val="21"/>
                <w:lang w:bidi="ar"/>
              </w:rPr>
              <w:t>，超过1辆车后每多提供1辆得*分，本项最高得4分。（本项从第二辆车辆开始计分，车辆数量≤1辆不得分）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注：须提供未遮挡号牌的车辆照片（车辆前、后及车厢内等三张）、购买发票或合同、有效的行驶证复印件并加盖公章，上述内容缺一不可，未提供或未按要求提供本项不得分（车辆所有人必须为投标人）；</w:t>
            </w:r>
            <w:r>
              <w:rPr>
                <w:rFonts w:hint="eastAsia" w:ascii="仿宋_GB2312" w:hAnsi="仿宋_GB2312" w:cs="仿宋_GB2312"/>
                <w:kern w:val="0"/>
                <w:sz w:val="21"/>
                <w:szCs w:val="21"/>
                <w:lang w:bidi="ar"/>
              </w:rPr>
              <w:br w:type="textWrapping"/>
            </w:r>
            <w:r>
              <w:rPr>
                <w:rFonts w:hint="eastAsia" w:ascii="仿宋_GB2312" w:hAnsi="仿宋_GB2312" w:cs="仿宋_GB2312"/>
                <w:b/>
                <w:bCs/>
                <w:kern w:val="0"/>
                <w:sz w:val="21"/>
                <w:szCs w:val="21"/>
                <w:lang w:bidi="ar"/>
              </w:rPr>
              <w:t>注：此项内容根据配送学校的实际情况确定数量，数量应合理适当，不得过高要求。发布文件时请将此条注意事项删除。</w:t>
            </w:r>
          </w:p>
        </w:tc>
        <w:tc>
          <w:tcPr>
            <w:tcW w:w="739" w:type="dxa"/>
            <w:tcBorders>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4.2</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kern w:val="0"/>
                <w:sz w:val="21"/>
                <w:szCs w:val="21"/>
              </w:rPr>
            </w:pPr>
            <w:r>
              <w:rPr>
                <w:rFonts w:hint="eastAsia" w:ascii="仿宋_GB2312" w:hAnsi="仿宋_GB2312" w:cs="仿宋_GB2312"/>
                <w:kern w:val="0"/>
                <w:sz w:val="21"/>
                <w:szCs w:val="21"/>
                <w:lang w:bidi="ar"/>
              </w:rPr>
              <w:t>配送能力中的车辆装有定位系统和车厢内部视频监控并实现联网，每有1辆车得0.5分，本项最高得1分。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（提供相关证明材料和相关照片并加盖公章）</w:t>
            </w:r>
          </w:p>
        </w:tc>
        <w:tc>
          <w:tcPr>
            <w:tcW w:w="739" w:type="dxa"/>
            <w:tcBorders>
              <w:top w:val="single" w:color="auto" w:sz="4" w:space="0"/>
              <w:left w:val="single" w:color="auto" w:sz="4" w:space="0"/>
              <w:right w:val="single" w:color="auto" w:sz="4" w:space="0"/>
            </w:tcBorders>
            <w:vAlign w:val="center"/>
          </w:tcPr>
          <w:p>
            <w:pPr>
              <w:ind w:firstLine="0" w:firstLineChars="0"/>
              <w:rPr>
                <w:rFonts w:ascii="宋体" w:hAnsi="宋体" w:eastAsia="宋体" w:cs="微软雅黑"/>
                <w:kern w:val="0"/>
                <w:szCs w:val="21"/>
              </w:rPr>
            </w:pPr>
            <w:r>
              <w:rPr>
                <w:rFonts w:hint="eastAsia" w:ascii="宋体" w:hAnsi="宋体" w:cs="微软雅黑"/>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b/>
                <w:bCs/>
                <w:kern w:val="0"/>
                <w:szCs w:val="21"/>
              </w:rPr>
            </w:pPr>
            <w:r>
              <w:rPr>
                <w:rFonts w:hint="eastAsia" w:ascii="宋体" w:hAnsi="宋体" w:eastAsia="宋体" w:cs="宋体"/>
                <w:b/>
                <w:bCs/>
                <w:kern w:val="0"/>
                <w:sz w:val="21"/>
                <w:szCs w:val="21"/>
                <w:lang w:bidi="ar"/>
              </w:rPr>
              <w:t>4.3</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b/>
                <w:bCs/>
                <w:kern w:val="0"/>
                <w:sz w:val="21"/>
                <w:szCs w:val="21"/>
                <w:lang w:bidi="ar"/>
              </w:rPr>
              <w:t>人员配置：</w:t>
            </w:r>
            <w:r>
              <w:rPr>
                <w:rFonts w:hint="eastAsia" w:ascii="仿宋_GB2312" w:hAnsi="仿宋_GB2312" w:cs="仿宋_GB2312"/>
                <w:kern w:val="0"/>
                <w:sz w:val="21"/>
                <w:szCs w:val="21"/>
                <w:lang w:bidi="ar"/>
              </w:rPr>
              <w:t>投标人提供完整的人员配置清单（人员均</w:t>
            </w:r>
            <w:r>
              <w:rPr>
                <w:rFonts w:hint="eastAsia" w:ascii="仿宋_GB2312" w:hAnsi="仿宋_GB2312" w:cs="仿宋_GB2312"/>
                <w:kern w:val="0"/>
                <w:sz w:val="21"/>
                <w:szCs w:val="21"/>
                <w:lang w:eastAsia="zh-CN" w:bidi="ar"/>
              </w:rPr>
              <w:t>须</w:t>
            </w:r>
            <w:r>
              <w:rPr>
                <w:rFonts w:hint="eastAsia" w:ascii="仿宋_GB2312" w:hAnsi="仿宋_GB2312" w:cs="仿宋_GB2312"/>
                <w:kern w:val="0"/>
                <w:sz w:val="21"/>
                <w:szCs w:val="21"/>
                <w:lang w:bidi="ar"/>
              </w:rPr>
              <w:t>具有健康证）。</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人员配置数量在**人及以上的得3分；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人员配置数量在**-**人的得2分；</w:t>
            </w:r>
          </w:p>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人员配置梳理在**-**人的得1分；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人员配置梳理在3人及以下或未提供人员配置清单的不得分。</w:t>
            </w:r>
          </w:p>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kern w:val="0"/>
                <w:sz w:val="21"/>
                <w:szCs w:val="21"/>
                <w:lang w:bidi="ar"/>
              </w:rPr>
              <w:t>本项最高得3分。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（提供社保机构出具的近三个月的任意一个月为配置人员缴纳的社会保险缴费证明材料复印件并加盖公章）</w:t>
            </w:r>
          </w:p>
          <w:p>
            <w:pPr>
              <w:spacing w:line="360" w:lineRule="auto"/>
              <w:ind w:firstLine="0" w:firstLineChars="0"/>
              <w:textAlignment w:val="center"/>
              <w:rPr>
                <w:rFonts w:ascii="仿宋_GB2312" w:hAnsi="仿宋_GB2312" w:cs="仿宋_GB2312"/>
                <w:kern w:val="0"/>
                <w:sz w:val="21"/>
                <w:szCs w:val="21"/>
                <w:lang w:bidi="ar"/>
              </w:rPr>
            </w:pPr>
            <w:r>
              <w:rPr>
                <w:rFonts w:hint="eastAsia" w:ascii="仿宋_GB2312" w:hAnsi="仿宋_GB2312" w:cs="仿宋_GB2312"/>
                <w:b/>
                <w:bCs/>
                <w:kern w:val="0"/>
                <w:sz w:val="21"/>
                <w:szCs w:val="21"/>
                <w:lang w:bidi="ar"/>
              </w:rPr>
              <w:t>注：此项内容根据配送学校的实际情况确定数量，数量应合理适当，不得过高要求。发布文件时请将此条注意事项删除。</w:t>
            </w:r>
          </w:p>
        </w:tc>
        <w:tc>
          <w:tcPr>
            <w:tcW w:w="739" w:type="dxa"/>
            <w:tcBorders>
              <w:top w:val="single" w:color="auto" w:sz="4" w:space="0"/>
              <w:left w:val="single" w:color="auto" w:sz="4" w:space="0"/>
              <w:right w:val="single" w:color="auto" w:sz="4" w:space="0"/>
            </w:tcBorders>
            <w:vAlign w:val="center"/>
          </w:tcPr>
          <w:p>
            <w:pPr>
              <w:ind w:firstLine="0" w:firstLineChars="0"/>
              <w:rPr>
                <w:rFonts w:ascii="宋体" w:hAnsi="宋体" w:eastAsia="宋体" w:cs="微软雅黑"/>
                <w:kern w:val="0"/>
                <w:szCs w:val="21"/>
              </w:rPr>
            </w:pPr>
            <w:r>
              <w:rPr>
                <w:rFonts w:hint="eastAsia" w:ascii="宋体" w:hAnsi="宋体" w:cs="微软雅黑"/>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4.4</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sz w:val="21"/>
                <w:szCs w:val="21"/>
              </w:rPr>
            </w:pPr>
            <w:r>
              <w:rPr>
                <w:rFonts w:hint="eastAsia" w:ascii="仿宋_GB2312" w:hAnsi="仿宋_GB2312" w:cs="仿宋_GB2312"/>
                <w:b/>
                <w:bCs/>
                <w:kern w:val="0"/>
                <w:sz w:val="21"/>
                <w:szCs w:val="21"/>
                <w:lang w:bidi="ar"/>
              </w:rPr>
              <w:t>仓储能力</w:t>
            </w:r>
            <w:r>
              <w:rPr>
                <w:rFonts w:hint="eastAsia" w:ascii="仿宋_GB2312" w:hAnsi="仿宋_GB2312" w:cs="仿宋_GB2312"/>
                <w:kern w:val="0"/>
                <w:sz w:val="21"/>
                <w:szCs w:val="21"/>
                <w:lang w:bidi="ar"/>
              </w:rPr>
              <w:t>：投标人提供的自有仓库（冷库）或租赁仓库（冷库）证明（</w:t>
            </w:r>
            <w:r>
              <w:rPr>
                <w:rFonts w:hint="eastAsia" w:ascii="仿宋_GB2312" w:hAnsi="仿宋_GB2312" w:cs="仿宋_GB2312"/>
                <w:b/>
                <w:bCs/>
                <w:kern w:val="0"/>
                <w:sz w:val="21"/>
                <w:szCs w:val="21"/>
                <w:lang w:bidi="ar"/>
              </w:rPr>
              <w:t>根据标段需求设为仓库或冷库</w:t>
            </w:r>
            <w:r>
              <w:rPr>
                <w:rFonts w:hint="eastAsia" w:ascii="仿宋_GB2312" w:hAnsi="仿宋_GB2312" w:cs="仿宋_GB2312"/>
                <w:kern w:val="0"/>
                <w:sz w:val="21"/>
                <w:szCs w:val="21"/>
                <w:lang w:bidi="ar"/>
              </w:rPr>
              <w:t>）。</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仓库（冷库）面积≥****㎡，得5分；****㎡＞仓库（冷库）面积≥****㎡，得4分；****㎡＞仓库（冷库）面积≥****㎡，得3分；****㎡＞仓库（冷库）面积≥100㎡，得2分；100㎡＞仓库（冷库）面积≥50㎡，得1分；未提供或仓库（冷库）面积＜50㎡不得分。本项最高得5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仓库（冷库）的相关图片，自有仓库（冷库）的提供相关产权证明复印件，如房产证，登记名称与投标人名称必须一致；租赁仓库（冷库）的提供截至投标日仍在合同期内的租赁协议及出租方相关产权证明复印件。场地面积单位不是㎡的请自行换算并在投标文件中标注㎡面积。证明材料加盖公章。）</w:t>
            </w:r>
          </w:p>
          <w:p>
            <w:pPr>
              <w:spacing w:line="360" w:lineRule="auto"/>
              <w:ind w:firstLine="0" w:firstLineChars="0"/>
              <w:textAlignment w:val="center"/>
              <w:rPr>
                <w:rFonts w:ascii="仿宋_GB2312" w:hAnsi="仿宋_GB2312" w:cs="仿宋_GB2312"/>
                <w:sz w:val="21"/>
                <w:szCs w:val="21"/>
              </w:rPr>
            </w:pPr>
            <w:r>
              <w:rPr>
                <w:rFonts w:hint="eastAsia" w:ascii="仿宋_GB2312" w:hAnsi="仿宋_GB2312" w:cs="仿宋_GB2312"/>
                <w:b/>
                <w:bCs/>
                <w:kern w:val="0"/>
                <w:sz w:val="21"/>
                <w:szCs w:val="21"/>
                <w:lang w:bidi="ar"/>
              </w:rPr>
              <w:t>注：此项内容根据配送学校的实际情况确定数量，数量应合理适当，不得过高要求。发布文件时请将此条注意事项删除。</w:t>
            </w:r>
          </w:p>
        </w:tc>
        <w:tc>
          <w:tcPr>
            <w:tcW w:w="739" w:type="dxa"/>
            <w:tcBorders>
              <w:top w:val="single" w:color="auto" w:sz="4" w:space="0"/>
              <w:left w:val="single" w:color="auto" w:sz="4" w:space="0"/>
              <w:right w:val="single" w:color="auto" w:sz="4" w:space="0"/>
            </w:tcBorders>
            <w:vAlign w:val="center"/>
          </w:tcPr>
          <w:p>
            <w:pPr>
              <w:ind w:firstLine="0" w:firstLineChars="0"/>
              <w:rPr>
                <w:rFonts w:ascii="宋体" w:hAnsi="宋体" w:cs="微软雅黑"/>
                <w:kern w:val="0"/>
                <w:szCs w:val="21"/>
              </w:rPr>
            </w:pPr>
            <w:r>
              <w:rPr>
                <w:rFonts w:hint="eastAsia" w:ascii="宋体" w:hAnsi="宋体" w:cs="微软雅黑"/>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r>
              <w:rPr>
                <w:rFonts w:hint="eastAsia" w:ascii="宋体" w:hAnsi="宋体" w:cs="宋体"/>
                <w:b/>
                <w:bCs/>
                <w:kern w:val="0"/>
                <w:sz w:val="21"/>
                <w:szCs w:val="21"/>
                <w:lang w:bidi="ar"/>
              </w:rPr>
              <w:t>4.5</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b/>
                <w:bCs/>
                <w:kern w:val="0"/>
                <w:sz w:val="21"/>
                <w:szCs w:val="21"/>
                <w:lang w:bidi="ar"/>
              </w:rPr>
            </w:pPr>
            <w:r>
              <w:rPr>
                <w:rFonts w:hint="eastAsia" w:ascii="仿宋_GB2312" w:hAnsi="仿宋_GB2312" w:cs="仿宋_GB2312"/>
                <w:b/>
                <w:bCs/>
                <w:kern w:val="0"/>
                <w:sz w:val="21"/>
                <w:szCs w:val="21"/>
                <w:lang w:bidi="ar"/>
              </w:rPr>
              <w:t>仓库控温系统：</w:t>
            </w:r>
            <w:r>
              <w:rPr>
                <w:rFonts w:hint="eastAsia" w:ascii="仿宋_GB2312" w:hAnsi="仿宋_GB2312" w:cs="仿宋_GB2312"/>
                <w:kern w:val="0"/>
                <w:sz w:val="21"/>
                <w:szCs w:val="21"/>
                <w:lang w:bidi="ar"/>
              </w:rPr>
              <w:t>投标人提供的仓库（冷库）控温效果好，能够较好实现控温，具有温度报警系统，温度恒定得3分；投标人提供的仓库（冷库）控温效果好，能够较好实现控温，温度恒定得2分。本项最高得3分。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（提供现场照片，设备功能照片等证明材料）</w:t>
            </w:r>
          </w:p>
        </w:tc>
        <w:tc>
          <w:tcPr>
            <w:tcW w:w="739" w:type="dxa"/>
            <w:tcBorders>
              <w:top w:val="single" w:color="auto" w:sz="4" w:space="0"/>
              <w:left w:val="single" w:color="auto" w:sz="4" w:space="0"/>
              <w:right w:val="single" w:color="auto" w:sz="4" w:space="0"/>
            </w:tcBorders>
            <w:vAlign w:val="center"/>
          </w:tcPr>
          <w:p>
            <w:pPr>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b/>
                <w:bCs/>
                <w:kern w:val="0"/>
                <w:szCs w:val="21"/>
              </w:rPr>
            </w:pPr>
            <w:r>
              <w:rPr>
                <w:rFonts w:hint="eastAsia" w:ascii="宋体" w:hAnsi="宋体" w:eastAsia="宋体" w:cs="宋体"/>
                <w:b/>
                <w:bCs/>
                <w:kern w:val="0"/>
                <w:sz w:val="21"/>
                <w:szCs w:val="21"/>
                <w:lang w:bidi="ar"/>
              </w:rPr>
              <w:t>4.</w:t>
            </w:r>
            <w:r>
              <w:rPr>
                <w:rFonts w:hint="eastAsia" w:ascii="宋体" w:hAnsi="宋体" w:cs="宋体"/>
                <w:b/>
                <w:bCs/>
                <w:kern w:val="0"/>
                <w:sz w:val="21"/>
                <w:szCs w:val="21"/>
                <w:lang w:bidi="ar"/>
              </w:rPr>
              <w:t>6</w:t>
            </w:r>
          </w:p>
        </w:tc>
        <w:tc>
          <w:tcPr>
            <w:tcW w:w="1329" w:type="dxa"/>
            <w:vMerge w:val="continue"/>
            <w:tcBorders>
              <w:left w:val="single" w:color="auto" w:sz="4" w:space="0"/>
              <w:right w:val="single" w:color="auto" w:sz="4" w:space="0"/>
            </w:tcBorders>
            <w:vAlign w:val="center"/>
          </w:tcPr>
          <w:p>
            <w:pPr>
              <w:ind w:firstLine="643"/>
              <w:jc w:val="center"/>
              <w:rPr>
                <w:rFonts w:ascii="宋体" w:hAnsi="宋体" w:cs="微软雅黑"/>
                <w:b/>
                <w:bCs/>
                <w:kern w:val="0"/>
                <w:szCs w:val="21"/>
              </w:rPr>
            </w:pP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sz w:val="21"/>
                <w:szCs w:val="21"/>
              </w:rPr>
            </w:pPr>
            <w:r>
              <w:rPr>
                <w:rFonts w:hint="eastAsia" w:ascii="仿宋_GB2312" w:hAnsi="仿宋_GB2312" w:cs="仿宋_GB2312"/>
                <w:b/>
                <w:bCs/>
                <w:kern w:val="0"/>
                <w:sz w:val="21"/>
                <w:szCs w:val="21"/>
                <w:lang w:bidi="ar"/>
              </w:rPr>
              <w:t>企业实力：</w:t>
            </w:r>
            <w:r>
              <w:rPr>
                <w:rFonts w:hint="eastAsia" w:ascii="仿宋_GB2312" w:hAnsi="仿宋_GB2312" w:cs="仿宋_GB2312"/>
                <w:kern w:val="0"/>
                <w:sz w:val="21"/>
                <w:szCs w:val="21"/>
                <w:lang w:bidi="ar"/>
              </w:rPr>
              <w:t>仓库（冷库）内实行视频监控全覆盖、实现联网，存储时间不少于30天，得1分；无视频监控或不能做到全覆盖或没有联网或存储时间少于30天不得分。本项最高得1分。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（提供相关证明材料或承诺书原件并加盖公章，承诺书格式自拟并明确存储时间）</w:t>
            </w:r>
          </w:p>
        </w:tc>
        <w:tc>
          <w:tcPr>
            <w:tcW w:w="739" w:type="dxa"/>
            <w:tcBorders>
              <w:top w:val="single" w:color="auto" w:sz="4" w:space="0"/>
              <w:left w:val="single" w:color="auto" w:sz="4" w:space="0"/>
              <w:right w:val="single" w:color="auto" w:sz="4" w:space="0"/>
            </w:tcBorders>
            <w:vAlign w:val="center"/>
          </w:tcPr>
          <w:p>
            <w:pPr>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b/>
                <w:bCs/>
                <w:kern w:val="0"/>
                <w:szCs w:val="21"/>
              </w:rPr>
            </w:pPr>
            <w:r>
              <w:rPr>
                <w:rFonts w:hint="eastAsia" w:ascii="宋体" w:hAnsi="宋体" w:eastAsia="宋体" w:cs="宋体"/>
                <w:b/>
                <w:bCs/>
                <w:kern w:val="0"/>
                <w:sz w:val="21"/>
                <w:szCs w:val="21"/>
                <w:lang w:bidi="ar"/>
              </w:rPr>
              <w:t>5</w:t>
            </w:r>
          </w:p>
        </w:tc>
        <w:tc>
          <w:tcPr>
            <w:tcW w:w="1329" w:type="dxa"/>
            <w:tcBorders>
              <w:left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履约能力</w:t>
            </w:r>
          </w:p>
          <w:p>
            <w:pPr>
              <w:ind w:firstLine="0" w:firstLineChars="0"/>
              <w:jc w:val="center"/>
              <w:textAlignment w:val="center"/>
              <w:rPr>
                <w:rFonts w:ascii="宋体" w:hAnsi="宋体" w:eastAsia="宋体" w:cs="宋体"/>
                <w:b/>
                <w:bCs/>
                <w:kern w:val="0"/>
                <w:sz w:val="21"/>
                <w:szCs w:val="21"/>
                <w:lang w:bidi="ar"/>
              </w:rPr>
            </w:pPr>
            <w:r>
              <w:rPr>
                <w:rFonts w:hint="eastAsia" w:ascii="宋体" w:hAnsi="宋体" w:cs="宋体"/>
                <w:b/>
                <w:bCs/>
                <w:kern w:val="0"/>
                <w:sz w:val="21"/>
                <w:szCs w:val="21"/>
                <w:lang w:bidi="ar"/>
              </w:rPr>
              <w:t>1分</w:t>
            </w: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kern w:val="0"/>
                <w:sz w:val="21"/>
                <w:szCs w:val="21"/>
              </w:rPr>
            </w:pPr>
            <w:r>
              <w:rPr>
                <w:rFonts w:hint="eastAsia" w:ascii="仿宋_GB2312" w:hAnsi="仿宋_GB2312" w:cs="仿宋_GB2312"/>
                <w:b/>
                <w:bCs/>
                <w:kern w:val="0"/>
                <w:sz w:val="21"/>
                <w:szCs w:val="21"/>
                <w:lang w:bidi="ar"/>
              </w:rPr>
              <w:t>应急响应：</w:t>
            </w:r>
            <w:r>
              <w:rPr>
                <w:rFonts w:hint="eastAsia" w:ascii="仿宋_GB2312" w:hAnsi="仿宋_GB2312" w:cs="仿宋_GB2312"/>
                <w:kern w:val="0"/>
                <w:sz w:val="21"/>
                <w:szCs w:val="21"/>
                <w:lang w:bidi="ar"/>
              </w:rPr>
              <w:t>投标人具备应急服务能力，且承诺具有长期驻本地人员，有一定的处理紧急情况的经验，同时为保证食材的卫生安全，能够接到采购人通知后1小时内赶到项目现场，提供承诺书得1分。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（提供承诺书原件及本地人员近半年内任意一个月社保并加盖公章，承诺书格式自拟，未提供或未按要求提供本项不得分）</w:t>
            </w:r>
          </w:p>
        </w:tc>
        <w:tc>
          <w:tcPr>
            <w:tcW w:w="739" w:type="dxa"/>
            <w:tcBorders>
              <w:top w:val="single" w:color="auto" w:sz="4" w:space="0"/>
              <w:left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b/>
                <w:bCs/>
                <w:kern w:val="0"/>
                <w:szCs w:val="21"/>
              </w:rPr>
            </w:pPr>
            <w:r>
              <w:rPr>
                <w:rFonts w:hint="eastAsia" w:ascii="宋体" w:hAnsi="宋体" w:eastAsia="宋体" w:cs="宋体"/>
                <w:b/>
                <w:bCs/>
                <w:kern w:val="0"/>
                <w:sz w:val="21"/>
                <w:szCs w:val="21"/>
                <w:lang w:bidi="ar"/>
              </w:rPr>
              <w:t>6</w:t>
            </w:r>
          </w:p>
        </w:tc>
        <w:tc>
          <w:tcPr>
            <w:tcW w:w="1329" w:type="dxa"/>
            <w:tcBorders>
              <w:left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业绩</w:t>
            </w:r>
          </w:p>
          <w:p>
            <w:pPr>
              <w:ind w:firstLine="0" w:firstLineChars="0"/>
              <w:jc w:val="center"/>
              <w:textAlignment w:val="center"/>
              <w:rPr>
                <w:rFonts w:ascii="宋体" w:hAnsi="宋体" w:eastAsia="宋体" w:cs="宋体"/>
                <w:b/>
                <w:bCs/>
                <w:kern w:val="0"/>
                <w:sz w:val="21"/>
                <w:szCs w:val="21"/>
                <w:lang w:bidi="ar"/>
              </w:rPr>
            </w:pPr>
            <w:r>
              <w:rPr>
                <w:rFonts w:hint="eastAsia" w:ascii="宋体" w:hAnsi="宋体" w:cs="宋体"/>
                <w:b/>
                <w:bCs/>
                <w:kern w:val="0"/>
                <w:sz w:val="21"/>
                <w:szCs w:val="21"/>
                <w:lang w:bidi="ar"/>
              </w:rPr>
              <w:t>4分</w:t>
            </w:r>
          </w:p>
        </w:tc>
        <w:tc>
          <w:tcPr>
            <w:tcW w:w="6690" w:type="dxa"/>
            <w:tcBorders>
              <w:top w:val="single" w:color="auto" w:sz="4" w:space="0"/>
              <w:left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sz w:val="21"/>
                <w:szCs w:val="21"/>
              </w:rPr>
            </w:pPr>
            <w:r>
              <w:rPr>
                <w:rFonts w:hint="eastAsia" w:ascii="仿宋_GB2312" w:hAnsi="仿宋_GB2312" w:cs="仿宋_GB2312"/>
                <w:kern w:val="0"/>
                <w:sz w:val="21"/>
                <w:szCs w:val="21"/>
                <w:lang w:bidi="ar"/>
              </w:rPr>
              <w:t>自</w:t>
            </w:r>
            <w:r>
              <w:rPr>
                <w:rStyle w:val="72"/>
                <w:rFonts w:ascii="仿宋_GB2312" w:hAnsi="仿宋_GB2312" w:cs="仿宋_GB2312"/>
                <w:color w:val="auto"/>
                <w:lang w:bidi="ar"/>
              </w:rPr>
              <w:t>20**</w:t>
            </w:r>
            <w:r>
              <w:rPr>
                <w:rFonts w:hint="eastAsia" w:ascii="仿宋_GB2312" w:hAnsi="仿宋_GB2312" w:cs="仿宋_GB2312"/>
                <w:kern w:val="0"/>
                <w:sz w:val="21"/>
                <w:szCs w:val="21"/>
                <w:lang w:bidi="ar"/>
              </w:rPr>
              <w:t>年</w:t>
            </w:r>
            <w:r>
              <w:rPr>
                <w:rStyle w:val="72"/>
                <w:rFonts w:ascii="仿宋_GB2312" w:hAnsi="仿宋_GB2312" w:cs="仿宋_GB2312"/>
                <w:color w:val="auto"/>
                <w:lang w:bidi="ar"/>
              </w:rPr>
              <w:t>1</w:t>
            </w:r>
            <w:r>
              <w:rPr>
                <w:rFonts w:hint="eastAsia" w:ascii="仿宋_GB2312" w:hAnsi="仿宋_GB2312" w:cs="仿宋_GB2312"/>
                <w:kern w:val="0"/>
                <w:sz w:val="21"/>
                <w:szCs w:val="21"/>
                <w:lang w:bidi="ar"/>
              </w:rPr>
              <w:t>月</w:t>
            </w:r>
            <w:r>
              <w:rPr>
                <w:rStyle w:val="72"/>
                <w:rFonts w:ascii="仿宋_GB2312" w:hAnsi="仿宋_GB2312" w:cs="仿宋_GB2312"/>
                <w:color w:val="auto"/>
                <w:lang w:bidi="ar"/>
              </w:rPr>
              <w:t>1</w:t>
            </w:r>
            <w:r>
              <w:rPr>
                <w:rFonts w:hint="eastAsia" w:ascii="仿宋_GB2312" w:hAnsi="仿宋_GB2312" w:cs="仿宋_GB2312"/>
                <w:kern w:val="0"/>
                <w:sz w:val="21"/>
                <w:szCs w:val="21"/>
                <w:lang w:bidi="ar"/>
              </w:rPr>
              <w:t>日（含）以来（近三年）（时间以合同签订时间为准），投标人承担过类似食材供货业绩的（供货合同内容需包含乳品类食品），每有一个业绩得1分，最多得4分。</w:t>
            </w:r>
            <w:r>
              <w:rPr>
                <w:rFonts w:hint="eastAsia" w:ascii="仿宋_GB2312" w:hAnsi="仿宋_GB2312" w:cs="仿宋_GB2312"/>
                <w:kern w:val="0"/>
                <w:sz w:val="21"/>
                <w:szCs w:val="21"/>
                <w:lang w:bidi="ar"/>
              </w:rPr>
              <w:br w:type="textWrapping"/>
            </w:r>
            <w:r>
              <w:rPr>
                <w:rFonts w:hint="eastAsia" w:ascii="仿宋_GB2312" w:hAnsi="仿宋_GB2312" w:cs="仿宋_GB2312"/>
                <w:kern w:val="0"/>
                <w:sz w:val="21"/>
                <w:szCs w:val="21"/>
                <w:lang w:bidi="ar"/>
              </w:rPr>
              <w:t>（提供合同证明材料复印件并加盖公章，未提供的不得分）</w:t>
            </w:r>
          </w:p>
        </w:tc>
        <w:tc>
          <w:tcPr>
            <w:tcW w:w="739" w:type="dxa"/>
            <w:tcBorders>
              <w:top w:val="single" w:color="auto" w:sz="4" w:space="0"/>
              <w:left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textAlignment w:val="center"/>
              <w:rPr>
                <w:rFonts w:ascii="宋体" w:hAnsi="宋体" w:eastAsia="宋体" w:cs="微软雅黑"/>
                <w:b/>
                <w:bCs/>
                <w:kern w:val="0"/>
                <w:szCs w:val="21"/>
              </w:rPr>
            </w:pPr>
            <w:r>
              <w:rPr>
                <w:rFonts w:hint="eastAsia" w:ascii="宋体" w:hAnsi="宋体" w:eastAsia="宋体" w:cs="宋体"/>
                <w:b/>
                <w:bCs/>
                <w:kern w:val="0"/>
                <w:sz w:val="21"/>
                <w:szCs w:val="21"/>
                <w:lang w:bidi="ar"/>
              </w:rPr>
              <w:t>7</w:t>
            </w:r>
          </w:p>
        </w:tc>
        <w:tc>
          <w:tcPr>
            <w:tcW w:w="1329" w:type="dxa"/>
            <w:tcBorders>
              <w:top w:val="single" w:color="auto" w:sz="4" w:space="0"/>
              <w:left w:val="single" w:color="auto" w:sz="4" w:space="0"/>
              <w:right w:val="single" w:color="auto" w:sz="4" w:space="0"/>
            </w:tcBorders>
            <w:vAlign w:val="center"/>
          </w:tcPr>
          <w:p>
            <w:pPr>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服务</w:t>
            </w:r>
          </w:p>
          <w:p>
            <w:pPr>
              <w:ind w:firstLine="0" w:firstLineChars="0"/>
              <w:jc w:val="center"/>
              <w:textAlignment w:val="center"/>
              <w:rPr>
                <w:rFonts w:ascii="宋体" w:hAnsi="宋体" w:cs="微软雅黑"/>
                <w:b/>
                <w:bCs/>
                <w:kern w:val="0"/>
                <w:szCs w:val="21"/>
              </w:rPr>
            </w:pPr>
            <w:r>
              <w:rPr>
                <w:rFonts w:hint="eastAsia" w:ascii="宋体" w:hAnsi="宋体" w:eastAsia="宋体" w:cs="宋体"/>
                <w:b/>
                <w:bCs/>
                <w:kern w:val="0"/>
                <w:sz w:val="21"/>
                <w:szCs w:val="21"/>
                <w:lang w:bidi="ar"/>
              </w:rPr>
              <w:t>10分</w:t>
            </w:r>
          </w:p>
        </w:tc>
        <w:tc>
          <w:tcPr>
            <w:tcW w:w="66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textAlignment w:val="center"/>
              <w:rPr>
                <w:rFonts w:ascii="仿宋_GB2312" w:hAnsi="仿宋_GB2312" w:cs="仿宋_GB2312"/>
                <w:kern w:val="0"/>
                <w:sz w:val="21"/>
                <w:szCs w:val="21"/>
              </w:rPr>
            </w:pPr>
            <w:r>
              <w:rPr>
                <w:rFonts w:hint="eastAsia" w:ascii="仿宋_GB2312" w:hAnsi="仿宋_GB2312" w:cs="仿宋_GB2312"/>
                <w:kern w:val="0"/>
                <w:sz w:val="21"/>
                <w:szCs w:val="21"/>
                <w:u w:val="wave"/>
                <w:lang w:bidi="ar"/>
              </w:rPr>
              <w:t>采用高分优先法计算，即满足报价要求且经计算后的投标人的最高服务分（100分）为服务分基准分，其服务分为满分10分。其他投标人的服务分统一按照下列公式计算：服务分得分=（其他投标人经计算后的服务分/服务分基准分）×10（小数点后保留两位，小数点第三位四舍五入）。</w:t>
            </w:r>
          </w:p>
        </w:tc>
        <w:tc>
          <w:tcPr>
            <w:tcW w:w="739" w:type="dxa"/>
            <w:tcBorders>
              <w:top w:val="single" w:color="auto" w:sz="4" w:space="0"/>
              <w:left w:val="single" w:color="auto" w:sz="4" w:space="0"/>
              <w:right w:val="single" w:color="auto" w:sz="4" w:space="0"/>
            </w:tcBorders>
            <w:vAlign w:val="center"/>
          </w:tcPr>
          <w:p>
            <w:pPr>
              <w:ind w:firstLine="0" w:firstLineChars="0"/>
              <w:jc w:val="center"/>
              <w:textAlignment w:val="center"/>
              <w:rPr>
                <w:rFonts w:ascii="宋体" w:hAnsi="宋体" w:eastAsia="宋体" w:cs="微软雅黑"/>
                <w:kern w:val="0"/>
                <w:szCs w:val="21"/>
              </w:rPr>
            </w:pPr>
            <w:r>
              <w:rPr>
                <w:rFonts w:hint="eastAsia" w:ascii="宋体" w:hAnsi="宋体" w:eastAsia="宋体" w:cs="宋体"/>
                <w:kern w:val="0"/>
                <w:sz w:val="21"/>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76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合计</w:t>
            </w:r>
          </w:p>
        </w:tc>
        <w:tc>
          <w:tcPr>
            <w:tcW w:w="739" w:type="dxa"/>
            <w:tcBorders>
              <w:top w:val="single" w:color="auto" w:sz="4" w:space="0"/>
              <w:left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kern w:val="0"/>
                <w:sz w:val="21"/>
                <w:szCs w:val="21"/>
                <w:lang w:bidi="ar"/>
              </w:rPr>
            </w:pPr>
            <w:r>
              <w:rPr>
                <w:rFonts w:hint="eastAsia" w:ascii="宋体" w:hAnsi="宋体" w:eastAsia="宋体" w:cs="宋体"/>
                <w:kern w:val="0"/>
                <w:sz w:val="21"/>
                <w:szCs w:val="21"/>
                <w:lang w:bidi="ar"/>
              </w:rPr>
              <w:t>100</w:t>
            </w:r>
          </w:p>
        </w:tc>
      </w:tr>
    </w:tbl>
    <w:p>
      <w:pPr>
        <w:ind w:left="640" w:firstLine="0" w:firstLineChars="0"/>
      </w:pPr>
    </w:p>
    <w:p>
      <w:pPr>
        <w:ind w:firstLine="0" w:firstLineChars="0"/>
      </w:pPr>
    </w:p>
    <w:p>
      <w:pPr>
        <w:ind w:firstLine="0" w:firstLineChars="0"/>
      </w:pPr>
      <w:r>
        <w:br w:type="page"/>
      </w:r>
    </w:p>
    <w:p>
      <w:pPr>
        <w:ind w:firstLine="0" w:firstLineChars="0"/>
        <w:rPr>
          <w:rFonts w:ascii="黑体" w:hAnsi="黑体" w:eastAsia="黑体" w:cs="黑体"/>
        </w:rPr>
      </w:pPr>
      <w:r>
        <w:rPr>
          <w:rFonts w:hint="eastAsia" w:ascii="黑体" w:hAnsi="黑体" w:eastAsia="黑体" w:cs="黑体"/>
        </w:rPr>
        <w:t>附3</w:t>
      </w:r>
    </w:p>
    <w:p>
      <w:pPr>
        <w:pStyle w:val="48"/>
        <w:widowControl w:val="0"/>
        <w:rPr>
          <w:rFonts w:cs="Times New Roman"/>
        </w:rPr>
      </w:pPr>
      <w:r>
        <w:rPr>
          <w:rFonts w:hint="eastAsia" w:cs="Times New Roman"/>
        </w:rPr>
        <w:t>“实际竞价”评分办法</w:t>
      </w:r>
    </w:p>
    <w:tbl>
      <w:tblPr>
        <w:tblStyle w:val="23"/>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29"/>
        <w:gridCol w:w="657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序号</w:t>
            </w:r>
          </w:p>
        </w:tc>
        <w:tc>
          <w:tcPr>
            <w:tcW w:w="13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评分因素</w:t>
            </w:r>
          </w:p>
        </w:tc>
        <w:tc>
          <w:tcPr>
            <w:tcW w:w="65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评分标准</w:t>
            </w:r>
          </w:p>
        </w:tc>
        <w:tc>
          <w:tcPr>
            <w:tcW w:w="8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1</w:t>
            </w:r>
          </w:p>
        </w:tc>
        <w:tc>
          <w:tcPr>
            <w:tcW w:w="1329" w:type="dxa"/>
            <w:tcBorders>
              <w:left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价格</w:t>
            </w:r>
          </w:p>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60分</w:t>
            </w:r>
          </w:p>
        </w:tc>
        <w:tc>
          <w:tcPr>
            <w:tcW w:w="657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sz w:val="21"/>
                <w:szCs w:val="21"/>
                <w:u w:val="wave"/>
              </w:rPr>
            </w:pPr>
            <w:r>
              <w:rPr>
                <w:kern w:val="0"/>
                <w:sz w:val="21"/>
                <w:szCs w:val="21"/>
                <w:u w:val="wave"/>
                <w:lang w:bidi="ar"/>
              </w:rPr>
              <w:t>计算有效报价的算术平均值作为第一次基准价P1【当有效投标文件≥7家时，先剔除各报价中最高和最低的</w:t>
            </w:r>
            <w:r>
              <w:rPr>
                <w:rFonts w:hint="eastAsia"/>
                <w:kern w:val="0"/>
                <w:sz w:val="21"/>
                <w:szCs w:val="21"/>
                <w:u w:val="wave"/>
                <w:lang w:bidi="ar"/>
              </w:rPr>
              <w:t>1</w:t>
            </w:r>
            <w:r>
              <w:rPr>
                <w:kern w:val="0"/>
                <w:sz w:val="21"/>
                <w:szCs w:val="21"/>
                <w:u w:val="wave"/>
                <w:lang w:bidi="ar"/>
              </w:rPr>
              <w:t>0%（四舍五入取整）后进行算术平均；当有效投标文件4-6家时，剔除各报价中最高值后进行算术平均；当有效投标文件＜4家时，取各报价中的次低值】，取低于P1的有效报价计算第二次基准价P2，取P1与P2的平均值作为评标基准价P3。投标报价等于评标基准价P3的得60分；投标报价介于评标基准价P1和评标基准价P2之间的部分，每偏离评标基准价P3的1%扣1分；投标报价高于评标基准价P1或低于评标基准价P2的部分，每偏离基准价P3的1%扣1.5分，偏离不足1%的，用插入法计算。</w:t>
            </w:r>
          </w:p>
        </w:tc>
        <w:tc>
          <w:tcPr>
            <w:tcW w:w="859" w:type="dxa"/>
            <w:tcBorders>
              <w:left w:val="single" w:color="auto" w:sz="4" w:space="0"/>
              <w:right w:val="single" w:color="auto" w:sz="4" w:space="0"/>
            </w:tcBorders>
            <w:vAlign w:val="center"/>
          </w:tcPr>
          <w:p>
            <w:pPr>
              <w:spacing w:line="360" w:lineRule="auto"/>
              <w:ind w:firstLine="0" w:firstLineChars="0"/>
              <w:jc w:val="center"/>
              <w:textAlignment w:val="center"/>
              <w:rPr>
                <w:kern w:val="0"/>
                <w:sz w:val="21"/>
                <w:szCs w:val="21"/>
              </w:rPr>
            </w:pPr>
            <w:r>
              <w:rPr>
                <w:kern w:val="0"/>
                <w:sz w:val="21"/>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2</w:t>
            </w:r>
          </w:p>
        </w:tc>
        <w:tc>
          <w:tcPr>
            <w:tcW w:w="1329" w:type="dxa"/>
            <w:tcBorders>
              <w:left w:val="single" w:color="auto" w:sz="4" w:space="0"/>
              <w:right w:val="single" w:color="auto" w:sz="4" w:space="0"/>
            </w:tcBorders>
            <w:vAlign w:val="center"/>
          </w:tcPr>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服务</w:t>
            </w:r>
          </w:p>
          <w:p>
            <w:pPr>
              <w:spacing w:line="240" w:lineRule="auto"/>
              <w:ind w:firstLine="0" w:firstLineChars="0"/>
              <w:jc w:val="center"/>
              <w:textAlignment w:val="center"/>
              <w:rPr>
                <w:rFonts w:ascii="宋体" w:hAnsi="宋体" w:eastAsia="宋体" w:cs="宋体"/>
                <w:b/>
                <w:bCs/>
                <w:kern w:val="0"/>
                <w:sz w:val="21"/>
                <w:szCs w:val="21"/>
                <w:lang w:bidi="ar"/>
              </w:rPr>
            </w:pPr>
            <w:r>
              <w:rPr>
                <w:rFonts w:hint="eastAsia" w:ascii="宋体" w:hAnsi="宋体" w:eastAsia="宋体" w:cs="宋体"/>
                <w:b/>
                <w:bCs/>
                <w:kern w:val="0"/>
                <w:sz w:val="21"/>
                <w:szCs w:val="21"/>
                <w:lang w:bidi="ar"/>
              </w:rPr>
              <w:t>40分</w:t>
            </w:r>
          </w:p>
        </w:tc>
        <w:tc>
          <w:tcPr>
            <w:tcW w:w="6570" w:type="dxa"/>
            <w:tcBorders>
              <w:top w:val="single" w:color="auto" w:sz="4" w:space="0"/>
              <w:left w:val="single" w:color="auto" w:sz="4" w:space="0"/>
              <w:bottom w:val="single" w:color="auto" w:sz="4" w:space="0"/>
              <w:right w:val="single" w:color="auto" w:sz="4" w:space="0"/>
            </w:tcBorders>
            <w:vAlign w:val="center"/>
          </w:tcPr>
          <w:p>
            <w:pPr>
              <w:spacing w:line="360" w:lineRule="auto"/>
              <w:jc w:val="left"/>
              <w:textAlignment w:val="center"/>
              <w:rPr>
                <w:sz w:val="21"/>
                <w:szCs w:val="21"/>
                <w:u w:val="wave"/>
              </w:rPr>
            </w:pPr>
            <w:r>
              <w:rPr>
                <w:kern w:val="0"/>
                <w:sz w:val="21"/>
                <w:szCs w:val="21"/>
                <w:u w:val="wave"/>
                <w:lang w:bidi="ar"/>
              </w:rPr>
              <w:t>以供应商服务评价分最高分（100分）为基准分，其服务分为满分40分。其他投标人的服务分统一按照下列公式计算：服务分得分=（其他投标人经计算后的服务分/服务分基准分）×40（小数点后保留两位，小数点第三位四舍五入）。</w:t>
            </w:r>
          </w:p>
        </w:tc>
        <w:tc>
          <w:tcPr>
            <w:tcW w:w="859" w:type="dxa"/>
            <w:tcBorders>
              <w:left w:val="single" w:color="auto" w:sz="4" w:space="0"/>
              <w:right w:val="single" w:color="auto" w:sz="4" w:space="0"/>
            </w:tcBorders>
            <w:vAlign w:val="center"/>
          </w:tcPr>
          <w:p>
            <w:pPr>
              <w:spacing w:line="360" w:lineRule="auto"/>
              <w:ind w:firstLine="0" w:firstLineChars="0"/>
              <w:jc w:val="center"/>
              <w:textAlignment w:val="center"/>
              <w:rPr>
                <w:kern w:val="0"/>
                <w:sz w:val="21"/>
                <w:szCs w:val="21"/>
              </w:rPr>
            </w:pPr>
            <w:r>
              <w:rPr>
                <w:kern w:val="0"/>
                <w:sz w:val="21"/>
                <w:szCs w:val="21"/>
                <w:lang w:bidi="ar"/>
              </w:rPr>
              <w:t>40</w:t>
            </w:r>
          </w:p>
        </w:tc>
      </w:tr>
    </w:tbl>
    <w:p>
      <w:pPr>
        <w:ind w:firstLine="640"/>
      </w:pPr>
    </w:p>
    <w:p>
      <w:pPr>
        <w:ind w:firstLine="0" w:firstLineChars="0"/>
      </w:pPr>
      <w:r>
        <w:br w:type="page"/>
      </w:r>
    </w:p>
    <w:p>
      <w:pPr>
        <w:pStyle w:val="36"/>
        <w:spacing w:after="439"/>
        <w:rPr>
          <w:rFonts w:cs="Times New Roman"/>
        </w:rPr>
      </w:pPr>
      <w:r>
        <w:rPr>
          <w:rFonts w:hint="eastAsia" w:cs="Times New Roman"/>
        </w:rPr>
        <w:t>附件4</w:t>
      </w:r>
    </w:p>
    <w:p>
      <w:pPr>
        <w:pStyle w:val="48"/>
        <w:widowControl w:val="0"/>
        <w:rPr>
          <w:rFonts w:cs="Times New Roman"/>
        </w:rPr>
      </w:pPr>
      <w:r>
        <w:rPr>
          <w:rFonts w:hint="eastAsia" w:cs="Times New Roman"/>
        </w:rPr>
        <w:t>中小学食堂与校外供餐家长群众</w:t>
      </w:r>
    </w:p>
    <w:p>
      <w:pPr>
        <w:pStyle w:val="48"/>
        <w:widowControl w:val="0"/>
        <w:rPr>
          <w:rFonts w:cs="Times New Roman"/>
        </w:rPr>
      </w:pPr>
      <w:r>
        <w:rPr>
          <w:rFonts w:hint="eastAsia" w:cs="Times New Roman"/>
        </w:rPr>
        <w:t>监督工作导引</w:t>
      </w:r>
    </w:p>
    <w:p>
      <w:pPr>
        <w:ind w:firstLine="640"/>
      </w:pPr>
    </w:p>
    <w:p>
      <w:pPr>
        <w:ind w:firstLine="640"/>
      </w:pPr>
      <w:r>
        <w:rPr>
          <w:rFonts w:hint="eastAsia"/>
        </w:rPr>
        <w:t>为进一步规范全省中小学食堂运营和校外供餐管理，完善家长群众监督机制，提升家长群众监督工作的有效性和针对性，充分发挥学生家长</w:t>
      </w:r>
      <w:r>
        <w:rPr>
          <w:rFonts w:hint="eastAsia"/>
          <w:lang w:val="en-US" w:eastAsia="zh-CN"/>
        </w:rPr>
        <w:t>在</w:t>
      </w:r>
      <w:r>
        <w:rPr>
          <w:rFonts w:hint="eastAsia"/>
        </w:rPr>
        <w:t>监督工作中的作用，根据《省教育厅等七部门关于进一步规范和加强中小学食堂与校外供餐管理的通知》精神，结合中小学食堂运营管理工作实际，制定本指引。</w:t>
      </w:r>
    </w:p>
    <w:p>
      <w:pPr>
        <w:pStyle w:val="47"/>
        <w:spacing w:before="570" w:after="219"/>
        <w:rPr>
          <w:rFonts w:cs="Times New Roman"/>
          <w:color w:val="auto"/>
        </w:rPr>
      </w:pPr>
      <w:r>
        <w:rPr>
          <w:rFonts w:hint="eastAsia" w:cs="Times New Roman"/>
          <w:color w:val="auto"/>
        </w:rPr>
        <w:t>第一章</w:t>
      </w:r>
      <w:r>
        <w:rPr>
          <w:rFonts w:cs="Times New Roman"/>
          <w:color w:val="auto"/>
        </w:rPr>
        <w:t xml:space="preserve">  </w:t>
      </w:r>
      <w:r>
        <w:rPr>
          <w:rFonts w:hint="eastAsia" w:cs="Times New Roman"/>
          <w:color w:val="auto"/>
        </w:rPr>
        <w:t>总则</w:t>
      </w:r>
    </w:p>
    <w:p>
      <w:pPr>
        <w:numPr>
          <w:ilvl w:val="0"/>
          <w:numId w:val="9"/>
        </w:numPr>
        <w:ind w:firstLine="640"/>
      </w:pPr>
      <w:r>
        <w:rPr>
          <w:rFonts w:hint="eastAsia"/>
        </w:rPr>
        <w:t>学校食堂运营管理家长群众监督工作必须坚持党的领导，以法律法规为依据，推进家长群众决策、家长群众管理和家长群众监督，切实保障在校师生的餐饮安全，提高食堂服务质量。</w:t>
      </w:r>
    </w:p>
    <w:p>
      <w:pPr>
        <w:numPr>
          <w:ilvl w:val="0"/>
          <w:numId w:val="9"/>
        </w:numPr>
        <w:ind w:firstLine="640"/>
        <w:rPr>
          <w:b/>
          <w:bCs/>
        </w:rPr>
      </w:pPr>
      <w:r>
        <w:rPr>
          <w:rFonts w:hint="eastAsia"/>
        </w:rPr>
        <w:t>学校食堂运营管理家长群众监督工作必须坚持公平、公正、公开原则，应充分调动广大教职员工、学生、家长及社会各界参与学校食堂运营监管的积极性，积极推动基层社会治理创新，推进学校食堂运营管理水平提升。</w:t>
      </w:r>
    </w:p>
    <w:p>
      <w:pPr>
        <w:pStyle w:val="47"/>
        <w:spacing w:before="570" w:after="219"/>
        <w:rPr>
          <w:rFonts w:cs="Times New Roman"/>
          <w:color w:val="auto"/>
        </w:rPr>
      </w:pPr>
      <w:r>
        <w:rPr>
          <w:rFonts w:hint="eastAsia" w:cs="Times New Roman"/>
          <w:color w:val="auto"/>
        </w:rPr>
        <w:t>第二章</w:t>
      </w:r>
      <w:r>
        <w:rPr>
          <w:rFonts w:cs="Times New Roman"/>
          <w:color w:val="auto"/>
        </w:rPr>
        <w:t xml:space="preserve">  </w:t>
      </w:r>
      <w:r>
        <w:rPr>
          <w:rFonts w:hint="eastAsia" w:cs="Times New Roman"/>
          <w:color w:val="auto"/>
        </w:rPr>
        <w:t>监督工作机制</w:t>
      </w:r>
    </w:p>
    <w:p>
      <w:pPr>
        <w:numPr>
          <w:ilvl w:val="0"/>
          <w:numId w:val="9"/>
        </w:numPr>
        <w:ind w:firstLine="640"/>
      </w:pPr>
      <w:r>
        <w:rPr>
          <w:rFonts w:hint="eastAsia"/>
        </w:rPr>
        <w:t>学校食堂应完善家长群众监督机制，按规定公示食品经营许可证、从业人员健康证明，定期公开食堂财务收支、食材采购、带量食谱、对食堂运营单位和校外供餐单位考核评价等情况。设立校（园）长信箱，畅通食堂投诉与意见建议渠道，自觉接受监督。</w:t>
      </w:r>
    </w:p>
    <w:p>
      <w:pPr>
        <w:numPr>
          <w:ilvl w:val="0"/>
          <w:numId w:val="9"/>
        </w:numPr>
        <w:ind w:firstLine="640"/>
      </w:pPr>
      <w:r>
        <w:rPr>
          <w:rFonts w:hint="eastAsia"/>
        </w:rPr>
        <w:t>学校成立</w:t>
      </w:r>
      <w:r>
        <w:rPr>
          <w:rFonts w:hint="eastAsia"/>
          <w:lang w:bidi="ar"/>
        </w:rPr>
        <w:t>由校领导、总务后勤负责人和食堂管理人员组成的食堂管理工作组，负责建立家长群众监督制度，组织</w:t>
      </w:r>
      <w:r>
        <w:rPr>
          <w:rFonts w:hint="eastAsia"/>
        </w:rPr>
        <w:t>开展食堂运营管理常态化监督，定期开展食堂满意度测评，强化测评结果运用。</w:t>
      </w:r>
    </w:p>
    <w:p>
      <w:pPr>
        <w:numPr>
          <w:ilvl w:val="0"/>
          <w:numId w:val="9"/>
        </w:numPr>
        <w:ind w:firstLine="640"/>
      </w:pPr>
      <w:r>
        <w:rPr>
          <w:rFonts w:hint="eastAsia"/>
        </w:rPr>
        <w:t>学校每学年开学前后面向全体家长进行招募，建立家长志愿者库，参与学校食堂相关工作。志愿者招募工作应充分尊重家长意愿，实行专长匹配，有效开展监督。</w:t>
      </w:r>
    </w:p>
    <w:p>
      <w:pPr>
        <w:numPr>
          <w:ilvl w:val="0"/>
          <w:numId w:val="9"/>
        </w:numPr>
        <w:ind w:firstLine="640"/>
      </w:pPr>
      <w:r>
        <w:rPr>
          <w:rFonts w:hint="eastAsia"/>
        </w:rPr>
        <w:t>学校建立由学生家长代表组成的膳食监督（管理）家长委员会，委员从本校家长志愿者库中遴选，人数不少于7人。膳食监督（管理）家长委员会按照教育部办公厅《中小学校园膳食监督家长委员会工作办法（试行）》参与监督工作。</w:t>
      </w:r>
    </w:p>
    <w:p>
      <w:pPr>
        <w:pStyle w:val="47"/>
        <w:spacing w:before="570" w:after="219"/>
        <w:rPr>
          <w:rFonts w:cs="Times New Roman"/>
          <w:color w:val="auto"/>
        </w:rPr>
      </w:pPr>
      <w:r>
        <w:rPr>
          <w:rFonts w:hint="eastAsia" w:cs="Times New Roman"/>
          <w:color w:val="auto"/>
        </w:rPr>
        <w:t>第三章</w:t>
      </w:r>
      <w:r>
        <w:rPr>
          <w:rFonts w:cs="Times New Roman"/>
          <w:color w:val="auto"/>
        </w:rPr>
        <w:t xml:space="preserve">  </w:t>
      </w:r>
      <w:r>
        <w:rPr>
          <w:rFonts w:hint="eastAsia" w:cs="Times New Roman"/>
          <w:color w:val="auto"/>
        </w:rPr>
        <w:t>参与主体责任监督</w:t>
      </w:r>
    </w:p>
    <w:p>
      <w:pPr>
        <w:numPr>
          <w:ilvl w:val="0"/>
          <w:numId w:val="9"/>
        </w:numPr>
        <w:ind w:firstLine="640"/>
      </w:pPr>
      <w:r>
        <w:rPr>
          <w:rFonts w:hint="eastAsia"/>
          <w:lang w:bidi="ar"/>
        </w:rPr>
        <w:t>学校全体教职员工、学生、家长根据</w:t>
      </w:r>
      <w:r>
        <w:rPr>
          <w:rFonts w:hint="eastAsia"/>
          <w:lang w:eastAsia="zh-CN" w:bidi="ar"/>
        </w:rPr>
        <w:t>学校</w:t>
      </w:r>
      <w:r>
        <w:rPr>
          <w:rFonts w:hint="eastAsia"/>
          <w:lang w:bidi="ar"/>
        </w:rPr>
        <w:t>主体责任清单，对学校的各责任岗位进行家长群众监督。</w:t>
      </w:r>
    </w:p>
    <w:p>
      <w:pPr>
        <w:numPr>
          <w:ilvl w:val="0"/>
          <w:numId w:val="9"/>
        </w:numPr>
        <w:ind w:firstLine="640"/>
      </w:pPr>
      <w:r>
        <w:rPr>
          <w:rFonts w:hint="eastAsia"/>
        </w:rPr>
        <w:t>监督内容包括食堂运营各个环节，通过参与实际工作、不定期检查等形式参与，并以评价、满意度调查、意见建议以及投诉等形式呈现监督结果，同时对监督结果的反馈和处理等情况进行再监督。</w:t>
      </w:r>
    </w:p>
    <w:p>
      <w:pPr>
        <w:numPr>
          <w:ilvl w:val="0"/>
          <w:numId w:val="9"/>
        </w:numPr>
        <w:ind w:firstLine="640"/>
      </w:pPr>
      <w:r>
        <w:rPr>
          <w:rFonts w:hint="eastAsia"/>
        </w:rPr>
        <w:t>学校食堂管理责任岗位包括学校</w:t>
      </w:r>
      <w:r>
        <w:rPr>
          <w:rFonts w:hint="eastAsia"/>
          <w:lang w:bidi="ar"/>
        </w:rPr>
        <w:t>党政主要负责同志、分管校领导、总务后勤负责人、食堂负责人、食品安全总监、安全员、财务负责人、出纳和会计。</w:t>
      </w:r>
    </w:p>
    <w:p>
      <w:pPr>
        <w:numPr>
          <w:ilvl w:val="0"/>
          <w:numId w:val="9"/>
        </w:numPr>
        <w:ind w:firstLine="640"/>
        <w:rPr>
          <w:lang w:bidi="ar"/>
        </w:rPr>
      </w:pPr>
      <w:r>
        <w:rPr>
          <w:rFonts w:hint="eastAsia"/>
          <w:lang w:bidi="ar"/>
        </w:rPr>
        <w:t>学校党政主要负责同志履行学校食堂第一责任人职责，全面负责食堂监督管理工作。</w:t>
      </w:r>
    </w:p>
    <w:p>
      <w:pPr>
        <w:numPr>
          <w:ilvl w:val="0"/>
          <w:numId w:val="9"/>
        </w:numPr>
        <w:ind w:firstLine="640"/>
        <w:rPr>
          <w:lang w:bidi="ar"/>
        </w:rPr>
      </w:pPr>
      <w:r>
        <w:rPr>
          <w:rFonts w:hint="eastAsia"/>
          <w:lang w:bidi="ar"/>
        </w:rPr>
        <w:t>分管校领导分工负责食堂监督管理，推进健全落实岗位责任、管理制度和内控机制。</w:t>
      </w:r>
    </w:p>
    <w:p>
      <w:pPr>
        <w:numPr>
          <w:ilvl w:val="0"/>
          <w:numId w:val="9"/>
        </w:numPr>
        <w:ind w:firstLine="640"/>
        <w:rPr>
          <w:lang w:bidi="ar"/>
        </w:rPr>
      </w:pPr>
      <w:r>
        <w:rPr>
          <w:rFonts w:hint="eastAsia"/>
          <w:lang w:bidi="ar"/>
        </w:rPr>
        <w:t>总务后勤负责人、食堂负责人负责完善岗位责任、运营监管、供货验收、安全生产、食品安全、人员健康、学习培训、满意度测评、家长群众监督等管理制度和内控机制；公示食品经营许可证、从业人员健康证明，定期将食堂财务收支、食材采购、带量食谱、对食堂运营单位和校外供餐单位考核评价等情况予以公开。</w:t>
      </w:r>
    </w:p>
    <w:p>
      <w:pPr>
        <w:numPr>
          <w:ilvl w:val="0"/>
          <w:numId w:val="9"/>
        </w:numPr>
        <w:ind w:firstLine="640"/>
        <w:rPr>
          <w:lang w:bidi="ar"/>
        </w:rPr>
      </w:pPr>
      <w:r>
        <w:rPr>
          <w:rFonts w:hint="eastAsia"/>
          <w:lang w:bidi="ar"/>
        </w:rPr>
        <w:t>食品安全总监和安全员负责每月开展食品安全隐患排查整治，加强食品安全日常巡查巡检；加强应急演练，落实有害生物防治，强化食堂安全保卫；每月检测食材、餐具、配送装具、送货车辆清洗消毒效果，发现问题监督及时整改；烹饪前对食材是否具有正常感官性状进行检查并记录。</w:t>
      </w:r>
    </w:p>
    <w:p>
      <w:pPr>
        <w:numPr>
          <w:ilvl w:val="0"/>
          <w:numId w:val="9"/>
        </w:numPr>
        <w:ind w:firstLine="640"/>
        <w:rPr>
          <w:lang w:bidi="ar"/>
        </w:rPr>
      </w:pPr>
      <w:r>
        <w:rPr>
          <w:rFonts w:hint="eastAsia"/>
          <w:lang w:bidi="ar"/>
        </w:rPr>
        <w:t>财务负责人负责加强食堂经营收支、物资和有价证券管理，对食堂经济业务、财会行为和会计资料开展日常监督检查。</w:t>
      </w:r>
    </w:p>
    <w:p>
      <w:pPr>
        <w:numPr>
          <w:ilvl w:val="0"/>
          <w:numId w:val="9"/>
        </w:numPr>
        <w:ind w:firstLine="640"/>
      </w:pPr>
      <w:r>
        <w:rPr>
          <w:rFonts w:hint="eastAsia"/>
          <w:lang w:bidi="ar"/>
        </w:rPr>
        <w:t>出纳、会计负责按照财务管理规定做好伙食费收入、支出、结余会计核算和账务处理以及伙食费资金日常管理。</w:t>
      </w:r>
    </w:p>
    <w:p>
      <w:pPr>
        <w:pStyle w:val="47"/>
        <w:spacing w:before="570" w:after="219"/>
        <w:rPr>
          <w:rFonts w:cs="Times New Roman"/>
          <w:color w:val="auto"/>
        </w:rPr>
      </w:pPr>
      <w:r>
        <w:rPr>
          <w:rFonts w:hint="eastAsia" w:cs="Times New Roman"/>
          <w:color w:val="auto"/>
        </w:rPr>
        <w:t>第</w:t>
      </w:r>
      <w:r>
        <w:rPr>
          <w:rFonts w:hint="eastAsia" w:cs="Times New Roman"/>
          <w:color w:val="auto"/>
          <w:lang w:val="en-US" w:eastAsia="zh-CN"/>
        </w:rPr>
        <w:t>四</w:t>
      </w:r>
      <w:r>
        <w:rPr>
          <w:rFonts w:hint="eastAsia" w:cs="Times New Roman"/>
          <w:color w:val="auto"/>
        </w:rPr>
        <w:t>章</w:t>
      </w:r>
      <w:r>
        <w:rPr>
          <w:rFonts w:cs="Times New Roman"/>
          <w:color w:val="auto"/>
        </w:rPr>
        <w:t xml:space="preserve">  </w:t>
      </w:r>
      <w:r>
        <w:rPr>
          <w:rFonts w:hint="eastAsia" w:cs="Times New Roman"/>
          <w:color w:val="auto"/>
        </w:rPr>
        <w:t>参与财务监督</w:t>
      </w:r>
    </w:p>
    <w:p>
      <w:pPr>
        <w:numPr>
          <w:ilvl w:val="0"/>
          <w:numId w:val="9"/>
        </w:numPr>
        <w:ind w:firstLine="640"/>
        <w:rPr>
          <w:lang w:bidi="ar"/>
        </w:rPr>
      </w:pPr>
      <w:r>
        <w:rPr>
          <w:rFonts w:hint="eastAsia"/>
          <w:lang w:bidi="ar"/>
        </w:rPr>
        <w:t>学校食堂和校外供餐伙食费标准，在每学期开学前，应遵循成本补偿和非营利原则，在广泛听取在校生及其家长意见后，综合考虑不同年龄学生的营养需要、当地物价水平、居民可支配收入等因素，经学校食堂管理工作组与膳食监督（管理）家长委员会集体研究制定，由学校党政主要负责人审签报教育主管部门备案，并实行价格公示制度。</w:t>
      </w:r>
    </w:p>
    <w:p>
      <w:pPr>
        <w:numPr>
          <w:ilvl w:val="0"/>
          <w:numId w:val="9"/>
        </w:numPr>
        <w:ind w:firstLine="640"/>
        <w:rPr>
          <w:lang w:bidi="ar"/>
        </w:rPr>
      </w:pPr>
      <w:r>
        <w:rPr>
          <w:rFonts w:hint="eastAsia"/>
          <w:lang w:bidi="ar"/>
        </w:rPr>
        <w:t>全体家长在每学期初，通过学校公布的搭伙信息，了解本学期伙食费标准，就餐天数、应缴伙食费金额等信息，以此对食堂财务进行监督。</w:t>
      </w:r>
    </w:p>
    <w:p>
      <w:pPr>
        <w:numPr>
          <w:ilvl w:val="0"/>
          <w:numId w:val="9"/>
        </w:numPr>
        <w:ind w:firstLine="640"/>
      </w:pPr>
      <w:r>
        <w:rPr>
          <w:rFonts w:hint="eastAsia"/>
          <w:lang w:bidi="ar"/>
        </w:rPr>
        <w:t>学校膳食监督（管理）家长委员会依规监督学校食堂运营收支情况。学校食堂应按月结算确认食堂运营收入，每学年至少接受教育部门进行一次专项督查或审计，主动接受并积极配合在校学生家长监督。</w:t>
      </w:r>
    </w:p>
    <w:p>
      <w:pPr>
        <w:numPr>
          <w:ilvl w:val="0"/>
          <w:numId w:val="9"/>
        </w:numPr>
        <w:ind w:firstLine="640"/>
      </w:pPr>
      <w:r>
        <w:rPr>
          <w:rFonts w:hint="eastAsia"/>
          <w:lang w:bidi="ar"/>
        </w:rPr>
        <w:t>全体学生家长通过“阳光食堂”平台提出意见和建议，学校再结合食材成本监测信息、学生就餐评价和家长意见等，探索动态调整伙食费标准的机制。属地相关主管部门应加强对学校伙食费标准制定和调整的指导监督。</w:t>
      </w:r>
    </w:p>
    <w:p>
      <w:pPr>
        <w:pStyle w:val="47"/>
        <w:spacing w:before="570" w:after="219"/>
        <w:rPr>
          <w:rFonts w:cs="Times New Roman"/>
          <w:color w:val="auto"/>
        </w:rPr>
      </w:pPr>
      <w:r>
        <w:rPr>
          <w:rFonts w:hint="eastAsia" w:cs="Times New Roman"/>
          <w:color w:val="auto"/>
        </w:rPr>
        <w:t>第</w:t>
      </w:r>
      <w:r>
        <w:rPr>
          <w:rFonts w:hint="eastAsia" w:cs="Times New Roman"/>
          <w:color w:val="auto"/>
          <w:lang w:val="en-US" w:eastAsia="zh-CN"/>
        </w:rPr>
        <w:t>五</w:t>
      </w:r>
      <w:r>
        <w:rPr>
          <w:rFonts w:hint="eastAsia" w:cs="Times New Roman"/>
          <w:color w:val="auto"/>
        </w:rPr>
        <w:t>章</w:t>
      </w:r>
      <w:r>
        <w:rPr>
          <w:rFonts w:cs="Times New Roman"/>
          <w:color w:val="auto"/>
        </w:rPr>
        <w:t xml:space="preserve">  </w:t>
      </w:r>
      <w:r>
        <w:rPr>
          <w:rFonts w:hint="eastAsia" w:cs="Times New Roman"/>
          <w:color w:val="auto"/>
        </w:rPr>
        <w:t>参与招标采购监督</w:t>
      </w:r>
    </w:p>
    <w:p>
      <w:pPr>
        <w:numPr>
          <w:ilvl w:val="0"/>
          <w:numId w:val="9"/>
        </w:numPr>
        <w:ind w:firstLine="640"/>
      </w:pPr>
      <w:r>
        <w:rPr>
          <w:rFonts w:hint="eastAsia"/>
        </w:rPr>
        <w:t>资格审查程序监督</w:t>
      </w:r>
    </w:p>
    <w:p>
      <w:pPr>
        <w:numPr>
          <w:ilvl w:val="0"/>
          <w:numId w:val="10"/>
        </w:numPr>
        <w:ind w:firstLine="640"/>
      </w:pPr>
      <w:r>
        <w:rPr>
          <w:rFonts w:hint="eastAsia"/>
        </w:rPr>
        <w:t>家长志愿者作为资格审查工作组成员，参加资格审查工作与监督，人数占比不少于工作组总人数的五分之一，由中小学食材招标工作组从在校生家长志愿者库中随机选取。</w:t>
      </w:r>
    </w:p>
    <w:p>
      <w:pPr>
        <w:numPr>
          <w:ilvl w:val="0"/>
          <w:numId w:val="10"/>
        </w:numPr>
        <w:ind w:firstLine="640"/>
      </w:pPr>
      <w:r>
        <w:rPr>
          <w:rFonts w:hint="eastAsia"/>
        </w:rPr>
        <w:t>资格审查工作包括汇总报名材料、制定资格审查方案、现场考察等环节。监督内容主要包括：对投标供应商进行合理分组、研究确定资格审查日程安排、制定资格审查工作指引和工作要求、明确各项工作纪律、填写《资格审查现场考察表》并签字确认、现场合影以及审查资料上传“阳光食堂”平台等。</w:t>
      </w:r>
    </w:p>
    <w:p>
      <w:pPr>
        <w:numPr>
          <w:ilvl w:val="0"/>
          <w:numId w:val="10"/>
        </w:numPr>
        <w:ind w:firstLine="620"/>
      </w:pPr>
      <w:r>
        <w:rPr>
          <w:rFonts w:hint="eastAsia"/>
          <w:kern w:val="0"/>
          <w:sz w:val="31"/>
          <w:szCs w:val="31"/>
          <w:lang w:bidi="ar"/>
        </w:rPr>
        <w:t>资格审查结果</w:t>
      </w:r>
      <w:r>
        <w:rPr>
          <w:kern w:val="0"/>
          <w:sz w:val="31"/>
          <w:szCs w:val="31"/>
          <w:lang w:bidi="ar"/>
        </w:rPr>
        <w:t>由</w:t>
      </w:r>
      <w:r>
        <w:rPr>
          <w:rFonts w:hint="eastAsia"/>
          <w:kern w:val="0"/>
          <w:sz w:val="31"/>
          <w:szCs w:val="31"/>
          <w:lang w:bidi="ar"/>
        </w:rPr>
        <w:t>中小学食材招标工作组牵头</w:t>
      </w:r>
      <w:r>
        <w:rPr>
          <w:kern w:val="0"/>
          <w:sz w:val="31"/>
          <w:szCs w:val="31"/>
          <w:lang w:bidi="ar"/>
        </w:rPr>
        <w:t>研究确定</w:t>
      </w:r>
      <w:r>
        <w:rPr>
          <w:rFonts w:hint="eastAsia"/>
          <w:kern w:val="0"/>
          <w:sz w:val="31"/>
          <w:szCs w:val="31"/>
          <w:lang w:bidi="ar"/>
        </w:rPr>
        <w:t>，由招标实施机构将资格审查结果书面通知全部投标供应商。</w:t>
      </w:r>
    </w:p>
    <w:p>
      <w:pPr>
        <w:numPr>
          <w:ilvl w:val="0"/>
          <w:numId w:val="10"/>
        </w:numPr>
        <w:ind w:firstLine="620"/>
      </w:pPr>
      <w:r>
        <w:rPr>
          <w:rFonts w:hint="eastAsia"/>
          <w:kern w:val="0"/>
          <w:sz w:val="31"/>
          <w:szCs w:val="31"/>
          <w:lang w:bidi="ar"/>
        </w:rPr>
        <w:t>资格审查监督应覆盖主要工作，审查合格的投标供应商即可进入投标程序。</w:t>
      </w:r>
    </w:p>
    <w:p>
      <w:pPr>
        <w:numPr>
          <w:ilvl w:val="0"/>
          <w:numId w:val="9"/>
        </w:numPr>
        <w:ind w:firstLine="640"/>
      </w:pPr>
      <w:r>
        <w:rPr>
          <w:rFonts w:hint="eastAsia"/>
        </w:rPr>
        <w:t>开标程序监督</w:t>
      </w:r>
    </w:p>
    <w:p>
      <w:pPr>
        <w:pStyle w:val="76"/>
        <w:widowControl/>
        <w:numPr>
          <w:ilvl w:val="0"/>
          <w:numId w:val="11"/>
        </w:numPr>
        <w:ind w:firstLine="620" w:firstLineChars="0"/>
        <w:rPr>
          <w:lang w:bidi="ar"/>
        </w:rPr>
      </w:pPr>
      <w:r>
        <w:rPr>
          <w:rFonts w:hint="eastAsia"/>
          <w:kern w:val="0"/>
          <w:sz w:val="31"/>
          <w:szCs w:val="31"/>
          <w:lang w:bidi="ar"/>
        </w:rPr>
        <w:t>家长志愿者作为开标监督组成员，与教育局纪检监察部门人员、学校的食堂管理人员共同参加开标工作监督，</w:t>
      </w:r>
      <w:r>
        <w:rPr>
          <w:rFonts w:hint="eastAsia"/>
          <w:lang w:bidi="ar"/>
        </w:rPr>
        <w:t>开标监督组总</w:t>
      </w:r>
      <w:r>
        <w:rPr>
          <w:rFonts w:hint="eastAsia"/>
        </w:rPr>
        <w:t>人数不少于7人，其中家长志愿者2人</w:t>
      </w:r>
      <w:r>
        <w:rPr>
          <w:rFonts w:hint="eastAsia"/>
          <w:lang w:bidi="ar"/>
        </w:rPr>
        <w:t>。</w:t>
      </w:r>
    </w:p>
    <w:p>
      <w:pPr>
        <w:numPr>
          <w:ilvl w:val="0"/>
          <w:numId w:val="11"/>
        </w:numPr>
        <w:ind w:firstLine="620"/>
        <w:rPr>
          <w:kern w:val="0"/>
          <w:sz w:val="31"/>
          <w:szCs w:val="31"/>
          <w:lang w:bidi="ar"/>
        </w:rPr>
      </w:pPr>
      <w:r>
        <w:rPr>
          <w:rFonts w:hint="eastAsia"/>
          <w:kern w:val="0"/>
          <w:sz w:val="31"/>
          <w:szCs w:val="31"/>
          <w:lang w:bidi="ar"/>
        </w:rPr>
        <w:t>开标工作包括检查投标文件、唱标、开标记录与投标文件交送等环节。</w:t>
      </w:r>
      <w:r>
        <w:rPr>
          <w:rFonts w:hint="eastAsia"/>
        </w:rPr>
        <w:t>现场监督内容包括：合格供应商代表当众检查全部投标文件封装的完整性、招标实施机构人员现场宣读投标文件中的投标价格等关键信息、现场填写开标记录、组织全体投标供应商和开标监督组成员在开标记录上签字以及全部投标文件送评标室。</w:t>
      </w:r>
    </w:p>
    <w:p>
      <w:pPr>
        <w:numPr>
          <w:ilvl w:val="0"/>
          <w:numId w:val="11"/>
        </w:numPr>
        <w:ind w:firstLine="620"/>
      </w:pPr>
      <w:r>
        <w:rPr>
          <w:rFonts w:hint="eastAsia"/>
          <w:kern w:val="0"/>
          <w:sz w:val="31"/>
          <w:szCs w:val="31"/>
          <w:lang w:bidi="ar"/>
        </w:rPr>
        <w:t>开标工作监督应覆盖工作全过程，开标过程记录应上传“阳光食堂”平台存档备查。</w:t>
      </w:r>
    </w:p>
    <w:p>
      <w:pPr>
        <w:numPr>
          <w:ilvl w:val="0"/>
          <w:numId w:val="9"/>
        </w:numPr>
        <w:ind w:firstLine="640"/>
      </w:pPr>
      <w:r>
        <w:rPr>
          <w:rFonts w:hint="eastAsia"/>
        </w:rPr>
        <w:t>评标程序监督</w:t>
      </w:r>
    </w:p>
    <w:p>
      <w:pPr>
        <w:numPr>
          <w:ilvl w:val="0"/>
          <w:numId w:val="12"/>
        </w:numPr>
        <w:ind w:firstLine="640"/>
      </w:pPr>
      <w:r>
        <w:rPr>
          <w:rFonts w:hint="eastAsia"/>
        </w:rPr>
        <w:t>家长志愿者作为监督人员参与评标工作监督，由中小学食材招标工作组从学校在校生家长志愿者库中抽取。</w:t>
      </w:r>
    </w:p>
    <w:p>
      <w:pPr>
        <w:numPr>
          <w:ilvl w:val="0"/>
          <w:numId w:val="12"/>
        </w:numPr>
        <w:ind w:firstLine="640"/>
      </w:pPr>
      <w:r>
        <w:rPr>
          <w:rFonts w:hint="eastAsia"/>
        </w:rPr>
        <w:t>评标工作包括集中培训、分发投标文件和工作资料、现场打分、形成评标委员会结论、评标委员会资料归档等环节。评标工作监督内容包括：评标现场保密要求和纪律、由评标委员会组长牵头的工作培训、现场资料审阅和评分、提交评分表、汇总评分结果、生成评标结论、评标委员会全体成员合影以及评标委员会资料上传“阳光食堂”平台存档。</w:t>
      </w:r>
    </w:p>
    <w:p>
      <w:pPr>
        <w:numPr>
          <w:ilvl w:val="0"/>
          <w:numId w:val="12"/>
        </w:numPr>
        <w:ind w:firstLine="640"/>
      </w:pPr>
      <w:r>
        <w:rPr>
          <w:rFonts w:hint="eastAsia"/>
          <w:lang w:bidi="ar"/>
        </w:rPr>
        <w:t>评标工作监督应覆盖评标工作全过程，现场应全程不间断、无死角进行影音记录，现场所有人员应按照保密要求管理。</w:t>
      </w:r>
    </w:p>
    <w:p>
      <w:pPr>
        <w:pStyle w:val="47"/>
        <w:spacing w:before="570" w:after="219"/>
        <w:rPr>
          <w:rFonts w:cs="Times New Roman"/>
          <w:color w:val="auto"/>
        </w:rPr>
      </w:pPr>
      <w:r>
        <w:rPr>
          <w:rFonts w:hint="eastAsia" w:cs="Times New Roman"/>
          <w:color w:val="auto"/>
        </w:rPr>
        <w:t>第</w:t>
      </w:r>
      <w:r>
        <w:rPr>
          <w:rFonts w:hint="eastAsia" w:cs="Times New Roman"/>
          <w:color w:val="auto"/>
          <w:lang w:val="en-US" w:eastAsia="zh-CN"/>
        </w:rPr>
        <w:t>六</w:t>
      </w:r>
      <w:r>
        <w:rPr>
          <w:rFonts w:hint="eastAsia" w:cs="Times New Roman"/>
          <w:color w:val="auto"/>
        </w:rPr>
        <w:t>章</w:t>
      </w:r>
      <w:r>
        <w:rPr>
          <w:rFonts w:cs="Times New Roman"/>
          <w:color w:val="auto"/>
        </w:rPr>
        <w:t xml:space="preserve">  </w:t>
      </w:r>
      <w:r>
        <w:rPr>
          <w:rFonts w:hint="eastAsia" w:cs="Times New Roman"/>
          <w:color w:val="auto"/>
        </w:rPr>
        <w:t>参与供货验收监督</w:t>
      </w:r>
    </w:p>
    <w:p>
      <w:pPr>
        <w:numPr>
          <w:ilvl w:val="0"/>
          <w:numId w:val="9"/>
        </w:numPr>
        <w:ind w:firstLine="640"/>
        <w:rPr>
          <w:lang w:bidi="ar"/>
        </w:rPr>
      </w:pPr>
      <w:r>
        <w:rPr>
          <w:rFonts w:hint="eastAsia"/>
        </w:rPr>
        <w:t>家长志愿者可参加学校供货验收工作及监督，由学校从在校家长志愿者库中随机抽取，验收结束后，家长志愿者须在平台登记验收信息。</w:t>
      </w:r>
    </w:p>
    <w:p>
      <w:pPr>
        <w:numPr>
          <w:ilvl w:val="0"/>
          <w:numId w:val="9"/>
        </w:numPr>
        <w:ind w:firstLine="640"/>
        <w:rPr>
          <w:lang w:bidi="ar"/>
        </w:rPr>
      </w:pPr>
      <w:r>
        <w:rPr>
          <w:rFonts w:hint="eastAsia"/>
        </w:rPr>
        <w:t>每次验收可有1至多名家长志愿者参加</w:t>
      </w:r>
      <w:r>
        <w:rPr>
          <w:rFonts w:hint="eastAsia"/>
          <w:lang w:bidi="ar"/>
        </w:rPr>
        <w:t>。</w:t>
      </w:r>
    </w:p>
    <w:p>
      <w:pPr>
        <w:numPr>
          <w:ilvl w:val="0"/>
          <w:numId w:val="9"/>
        </w:numPr>
        <w:ind w:firstLine="640"/>
        <w:rPr>
          <w:lang w:bidi="ar"/>
        </w:rPr>
      </w:pPr>
      <w:r>
        <w:rPr>
          <w:rFonts w:hint="eastAsia"/>
          <w:lang w:bidi="ar"/>
        </w:rPr>
        <w:t>若没有家长志愿者参加验收的，学校应做好相关记录。</w:t>
      </w:r>
    </w:p>
    <w:p>
      <w:pPr>
        <w:numPr>
          <w:ilvl w:val="0"/>
          <w:numId w:val="9"/>
        </w:numPr>
        <w:ind w:firstLine="640"/>
      </w:pPr>
      <w:r>
        <w:rPr>
          <w:rFonts w:hint="eastAsia"/>
          <w:lang w:bidi="ar"/>
        </w:rPr>
        <w:t>学校向家长志愿者提供必要的食材验收指导，及时回应家长提出的问题，营造良好的工作氛围，保证家长群众监督实效。</w:t>
      </w:r>
    </w:p>
    <w:p>
      <w:pPr>
        <w:numPr>
          <w:ilvl w:val="0"/>
          <w:numId w:val="9"/>
        </w:numPr>
        <w:ind w:firstLine="640"/>
        <w:rPr>
          <w:lang w:bidi="ar"/>
        </w:rPr>
      </w:pPr>
      <w:r>
        <w:rPr>
          <w:rFonts w:hint="eastAsia"/>
          <w:lang w:bidi="ar"/>
        </w:rPr>
        <w:t>供货验收工作应在指定区域视频监控下进行，主要查验食材名称、品牌、质量等级、数量、生产日期、保质期、进货日期是否与合同约定相符，确保无以次充好、短斤少两、发霉变质等情况。</w:t>
      </w:r>
    </w:p>
    <w:p>
      <w:pPr>
        <w:numPr>
          <w:ilvl w:val="0"/>
          <w:numId w:val="9"/>
        </w:numPr>
        <w:ind w:firstLine="640"/>
      </w:pPr>
      <w:r>
        <w:rPr>
          <w:rFonts w:hint="eastAsia"/>
        </w:rPr>
        <w:t>供货验收监督中除监督验收过程外，还应关注</w:t>
      </w:r>
      <w:r>
        <w:rPr>
          <w:rFonts w:hint="eastAsia"/>
          <w:lang w:bidi="ar"/>
        </w:rPr>
        <w:t xml:space="preserve">验收凭证经全体人员现场签字后上传平台，同时参加验收人员须在“阳光食堂”平台填写验收记录，对食材质量与数量、供应商配送服务等进行评价。 </w:t>
      </w:r>
    </w:p>
    <w:p>
      <w:pPr>
        <w:pStyle w:val="47"/>
        <w:spacing w:before="570" w:after="219"/>
        <w:rPr>
          <w:rFonts w:cs="Times New Roman"/>
          <w:color w:val="auto"/>
        </w:rPr>
      </w:pPr>
      <w:r>
        <w:rPr>
          <w:rFonts w:hint="eastAsia" w:cs="Times New Roman"/>
          <w:color w:val="auto"/>
        </w:rPr>
        <w:t>第</w:t>
      </w:r>
      <w:r>
        <w:rPr>
          <w:rFonts w:hint="eastAsia" w:cs="Times New Roman"/>
          <w:color w:val="auto"/>
          <w:lang w:val="en-US" w:eastAsia="zh-CN"/>
        </w:rPr>
        <w:t>七</w:t>
      </w:r>
      <w:r>
        <w:rPr>
          <w:rFonts w:hint="eastAsia" w:cs="Times New Roman"/>
          <w:color w:val="auto"/>
        </w:rPr>
        <w:t>章</w:t>
      </w:r>
      <w:r>
        <w:rPr>
          <w:rFonts w:cs="Times New Roman"/>
          <w:color w:val="auto"/>
        </w:rPr>
        <w:t xml:space="preserve">  </w:t>
      </w:r>
      <w:r>
        <w:rPr>
          <w:rFonts w:hint="eastAsia" w:cs="Times New Roman"/>
          <w:color w:val="auto"/>
        </w:rPr>
        <w:t>参与校外供餐监督</w:t>
      </w:r>
    </w:p>
    <w:p>
      <w:pPr>
        <w:numPr>
          <w:ilvl w:val="0"/>
          <w:numId w:val="9"/>
        </w:numPr>
        <w:ind w:firstLine="640"/>
        <w:rPr>
          <w:lang w:bidi="ar"/>
        </w:rPr>
      </w:pPr>
      <w:r>
        <w:rPr>
          <w:rFonts w:hint="eastAsia"/>
          <w:lang w:bidi="ar"/>
        </w:rPr>
        <w:t>校外供餐监督工作主要包括招标管理、供餐单位遴选、合同签订、食品验收、供餐单位评价等方面。</w:t>
      </w:r>
    </w:p>
    <w:p>
      <w:pPr>
        <w:numPr>
          <w:ilvl w:val="0"/>
          <w:numId w:val="9"/>
        </w:numPr>
        <w:ind w:firstLine="640"/>
        <w:rPr>
          <w:lang w:bidi="ar"/>
        </w:rPr>
      </w:pPr>
      <w:r>
        <w:rPr>
          <w:rFonts w:hint="eastAsia"/>
          <w:lang w:bidi="ar"/>
        </w:rPr>
        <w:t>学校膳食监督（管理）家长委员会全体成员和学校组织食堂管理人员在每年6月中小学食材招标工作组在公开招标确定下一学年有资质的供餐单位后，对具有资质的供餐单位进行现场考察，评价确定中标单位，并签订合同。</w:t>
      </w:r>
    </w:p>
    <w:p>
      <w:pPr>
        <w:numPr>
          <w:ilvl w:val="0"/>
          <w:numId w:val="9"/>
        </w:numPr>
        <w:ind w:firstLine="620"/>
        <w:rPr>
          <w:lang w:bidi="ar"/>
        </w:rPr>
      </w:pPr>
      <w:r>
        <w:rPr>
          <w:rFonts w:hint="eastAsia"/>
          <w:kern w:val="0"/>
          <w:sz w:val="31"/>
          <w:szCs w:val="31"/>
          <w:lang w:bidi="ar"/>
        </w:rPr>
        <w:t>中标供餐单位应数量适中，既有充分竞争，也能形成规模效应。</w:t>
      </w:r>
      <w:r>
        <w:rPr>
          <w:rFonts w:hint="eastAsia"/>
          <w:lang w:bidi="ar"/>
        </w:rPr>
        <w:t>与供餐单位签订的合同中应</w:t>
      </w:r>
      <w:r>
        <w:rPr>
          <w:rFonts w:hint="eastAsia"/>
          <w:kern w:val="0"/>
          <w:sz w:val="31"/>
          <w:szCs w:val="31"/>
          <w:lang w:bidi="ar"/>
        </w:rPr>
        <w:t>明确供餐标准、配送要求和供餐单位负面清单、考核评价机制等。</w:t>
      </w:r>
    </w:p>
    <w:p>
      <w:pPr>
        <w:numPr>
          <w:ilvl w:val="0"/>
          <w:numId w:val="9"/>
        </w:numPr>
        <w:ind w:firstLine="620"/>
        <w:rPr>
          <w:kern w:val="0"/>
          <w:sz w:val="31"/>
          <w:szCs w:val="31"/>
          <w:lang w:bidi="ar"/>
        </w:rPr>
      </w:pPr>
      <w:r>
        <w:rPr>
          <w:rFonts w:hint="eastAsia"/>
          <w:kern w:val="0"/>
          <w:sz w:val="31"/>
          <w:szCs w:val="31"/>
          <w:lang w:bidi="ar"/>
        </w:rPr>
        <w:t>由学校食堂管理工作组成员和食堂员工组成的食材验收组（家长志愿者可参与）。家长志愿者从学校在校生家长志愿者库中抽取产生。食材验收组应</w:t>
      </w:r>
      <w:r>
        <w:rPr>
          <w:rFonts w:hint="eastAsia"/>
        </w:rPr>
        <w:t>定期轮换验收，每天由不少于3名人员开展食材验收工作（其中1名必须在编在岗）。</w:t>
      </w:r>
    </w:p>
    <w:p>
      <w:pPr>
        <w:numPr>
          <w:ilvl w:val="0"/>
          <w:numId w:val="9"/>
        </w:numPr>
        <w:ind w:firstLine="640"/>
        <w:rPr>
          <w:kern w:val="0"/>
          <w:sz w:val="31"/>
          <w:szCs w:val="31"/>
          <w:lang w:bidi="ar"/>
        </w:rPr>
      </w:pPr>
      <w:r>
        <w:rPr>
          <w:rFonts w:hint="eastAsia"/>
          <w:lang w:bidi="ar"/>
        </w:rPr>
        <w:t>食品验收工作要求每天随机抽检供应餐食的温度、数量、卫生、品质、色泽、口味、餐具安全和配送时效等，并在“阳光食堂”平台进行评价，确保食品从打包到学生用餐不超过</w:t>
      </w:r>
      <w:r>
        <w:rPr>
          <w:lang w:bidi="ar"/>
        </w:rPr>
        <w:t>2</w:t>
      </w:r>
      <w:r>
        <w:rPr>
          <w:rFonts w:hint="eastAsia"/>
          <w:lang w:bidi="ar"/>
        </w:rPr>
        <w:t>小时。</w:t>
      </w:r>
    </w:p>
    <w:p>
      <w:pPr>
        <w:pStyle w:val="47"/>
        <w:spacing w:before="570" w:after="219"/>
        <w:rPr>
          <w:rFonts w:cs="Times New Roman"/>
          <w:color w:val="auto"/>
        </w:rPr>
      </w:pPr>
      <w:r>
        <w:rPr>
          <w:rFonts w:hint="eastAsia" w:cs="Times New Roman"/>
          <w:color w:val="auto"/>
        </w:rPr>
        <w:t>第</w:t>
      </w:r>
      <w:r>
        <w:rPr>
          <w:rFonts w:hint="eastAsia" w:cs="Times New Roman"/>
          <w:color w:val="auto"/>
          <w:lang w:val="en-US" w:eastAsia="zh-CN"/>
        </w:rPr>
        <w:t>八</w:t>
      </w:r>
      <w:r>
        <w:rPr>
          <w:rFonts w:hint="eastAsia" w:cs="Times New Roman"/>
          <w:color w:val="auto"/>
        </w:rPr>
        <w:t>章</w:t>
      </w:r>
      <w:r>
        <w:rPr>
          <w:rFonts w:cs="Times New Roman"/>
          <w:color w:val="auto"/>
        </w:rPr>
        <w:t xml:space="preserve">  </w:t>
      </w:r>
      <w:r>
        <w:rPr>
          <w:rFonts w:hint="eastAsia" w:cs="Times New Roman"/>
          <w:color w:val="auto"/>
        </w:rPr>
        <w:t>参与其他日常监督</w:t>
      </w:r>
    </w:p>
    <w:p>
      <w:pPr>
        <w:numPr>
          <w:ilvl w:val="0"/>
          <w:numId w:val="9"/>
        </w:numPr>
        <w:ind w:firstLine="640"/>
        <w:rPr>
          <w:lang w:bidi="ar"/>
        </w:rPr>
      </w:pPr>
      <w:r>
        <w:rPr>
          <w:rFonts w:hint="eastAsia"/>
          <w:lang w:bidi="ar"/>
        </w:rPr>
        <w:t>全体学生、家长可定期参加“阳光食堂”平台开展的满意度测评，平台不定期随机抽取学生家长评价食品质量和食堂服务，并及时回复和处理投诉与意见建议，改进和提升食堂服务水平。</w:t>
      </w:r>
    </w:p>
    <w:p>
      <w:pPr>
        <w:numPr>
          <w:ilvl w:val="0"/>
          <w:numId w:val="9"/>
        </w:numPr>
        <w:ind w:firstLine="640"/>
        <w:rPr>
          <w:lang w:bidi="ar"/>
        </w:rPr>
      </w:pPr>
      <w:r>
        <w:rPr>
          <w:rFonts w:hint="eastAsia"/>
          <w:lang w:bidi="ar"/>
        </w:rPr>
        <w:t>全体学生、家长可通过“阳光食堂”平台和线下方式，及时了解和掌握伙食费标准、每周营养菜谱等信息。</w:t>
      </w:r>
    </w:p>
    <w:p>
      <w:pPr>
        <w:numPr>
          <w:ilvl w:val="0"/>
          <w:numId w:val="9"/>
        </w:numPr>
        <w:ind w:firstLine="640"/>
      </w:pPr>
      <w:r>
        <w:rPr>
          <w:rFonts w:hint="eastAsia"/>
          <w:lang w:bidi="ar"/>
        </w:rPr>
        <w:t>家长志愿者可参加陪餐工作。学校应建立家长陪餐制度，结合实际确定家长陪餐次数和人数，安排家长志愿者参加陪餐。陪餐家长与学生同质同菜同价缴费就餐，在“阳光食堂”平台填写陪餐记录，对食品质量和食堂服务进行监督和评价，对食堂工作提出意见建议。</w:t>
      </w:r>
    </w:p>
    <w:p>
      <w:pPr>
        <w:ind w:firstLine="640"/>
      </w:pPr>
      <w:r>
        <w:br w:type="page"/>
      </w:r>
    </w:p>
    <w:p>
      <w:pPr>
        <w:pStyle w:val="36"/>
        <w:spacing w:after="439"/>
        <w:rPr>
          <w:rFonts w:cs="Times New Roman"/>
        </w:rPr>
      </w:pPr>
      <w:r>
        <w:rPr>
          <w:rFonts w:hint="eastAsia" w:cs="Times New Roman"/>
        </w:rPr>
        <w:t xml:space="preserve">附件5 </w:t>
      </w:r>
    </w:p>
    <w:p>
      <w:pPr>
        <w:pStyle w:val="36"/>
        <w:spacing w:after="439"/>
        <w:rPr>
          <w:rFonts w:cs="Times New Roman"/>
        </w:rPr>
      </w:pPr>
    </w:p>
    <w:p>
      <w:pPr>
        <w:pStyle w:val="48"/>
        <w:widowControl w:val="0"/>
        <w:rPr>
          <w:rFonts w:cs="Times New Roman"/>
        </w:rPr>
      </w:pPr>
      <w:r>
        <w:rPr>
          <w:rFonts w:hint="eastAsia" w:cs="Times New Roman"/>
        </w:rPr>
        <w:t>中小学食堂与校外供餐市场主体服务评价</w:t>
      </w:r>
    </w:p>
    <w:p>
      <w:pPr>
        <w:pStyle w:val="48"/>
        <w:widowControl w:val="0"/>
        <w:rPr>
          <w:rFonts w:cs="Times New Roman"/>
        </w:rPr>
      </w:pPr>
      <w:r>
        <w:rPr>
          <w:rFonts w:hint="eastAsia" w:cs="Times New Roman"/>
        </w:rPr>
        <w:t>及服务分值管理工作导引</w:t>
      </w:r>
    </w:p>
    <w:p>
      <w:pPr>
        <w:ind w:firstLine="640"/>
      </w:pPr>
    </w:p>
    <w:p>
      <w:pPr>
        <w:ind w:firstLine="640"/>
      </w:pPr>
      <w:r>
        <w:rPr>
          <w:rFonts w:hint="eastAsia"/>
        </w:rPr>
        <w:t>为进一步规范全省中小学食堂运营和校外供餐管理，建立健全市场主体服务评价机制，规范学校食堂各类市场主体行为，根据《省教育厅等七部门关于进一步规范和加强中小学食堂与校外供餐管理的通知》精神，结合中小学食堂运营管理工作实际，制定本导引。</w:t>
      </w:r>
    </w:p>
    <w:p>
      <w:pPr>
        <w:pStyle w:val="47"/>
        <w:spacing w:before="570" w:after="219"/>
        <w:rPr>
          <w:rFonts w:cs="Times New Roman"/>
          <w:color w:val="auto"/>
        </w:rPr>
      </w:pPr>
      <w:r>
        <w:rPr>
          <w:rFonts w:hint="eastAsia" w:cs="Times New Roman"/>
          <w:color w:val="auto"/>
        </w:rPr>
        <w:t>第一章</w:t>
      </w:r>
      <w:r>
        <w:rPr>
          <w:rFonts w:cs="Times New Roman"/>
          <w:color w:val="auto"/>
        </w:rPr>
        <w:t xml:space="preserve">  </w:t>
      </w:r>
      <w:r>
        <w:rPr>
          <w:rFonts w:hint="eastAsia" w:cs="Times New Roman"/>
          <w:color w:val="auto"/>
        </w:rPr>
        <w:t>总则</w:t>
      </w:r>
    </w:p>
    <w:p>
      <w:pPr>
        <w:numPr>
          <w:ilvl w:val="0"/>
          <w:numId w:val="13"/>
        </w:numPr>
        <w:ind w:firstLine="640"/>
        <w:jc w:val="left"/>
      </w:pPr>
      <w:r>
        <w:rPr>
          <w:rFonts w:hint="eastAsia"/>
        </w:rPr>
        <w:t>本导引所称市场主体，是指委托运营食堂的餐饮服务单位、校外供餐单位、食材供应商。</w:t>
      </w:r>
    </w:p>
    <w:p>
      <w:pPr>
        <w:numPr>
          <w:ilvl w:val="0"/>
          <w:numId w:val="13"/>
        </w:numPr>
        <w:ind w:firstLine="640"/>
        <w:jc w:val="left"/>
      </w:pPr>
      <w:r>
        <w:rPr>
          <w:rFonts w:hint="eastAsia"/>
        </w:rPr>
        <w:t>本导引所称学校食堂市场主体服务评价工作是指对市场主体行为按照建立评价评分标准、行为认定、量化记分、信息公开等过程实行全流程管理，并在食堂运营过程中运用评价结果以及结合评价结果实施失信惩戒的行为。</w:t>
      </w:r>
    </w:p>
    <w:p>
      <w:pPr>
        <w:numPr>
          <w:ilvl w:val="0"/>
          <w:numId w:val="13"/>
        </w:numPr>
        <w:ind w:firstLine="640"/>
        <w:jc w:val="left"/>
      </w:pPr>
      <w:r>
        <w:rPr>
          <w:rFonts w:hint="eastAsia"/>
        </w:rPr>
        <w:t>学校食堂市场主体服务评价工作必须遵循公开公平、公正客观和合法规范的原则。</w:t>
      </w:r>
    </w:p>
    <w:p>
      <w:pPr>
        <w:pStyle w:val="47"/>
        <w:spacing w:before="570" w:after="219"/>
        <w:rPr>
          <w:rFonts w:cs="Times New Roman"/>
          <w:color w:val="auto"/>
        </w:rPr>
      </w:pPr>
      <w:r>
        <w:rPr>
          <w:rFonts w:hint="eastAsia" w:cs="Times New Roman"/>
          <w:color w:val="auto"/>
        </w:rPr>
        <w:t>第二章</w:t>
      </w:r>
      <w:r>
        <w:rPr>
          <w:rFonts w:cs="Times New Roman"/>
          <w:color w:val="auto"/>
        </w:rPr>
        <w:t xml:space="preserve"> </w:t>
      </w:r>
      <w:r>
        <w:rPr>
          <w:rFonts w:hint="eastAsia" w:cs="Times New Roman"/>
          <w:color w:val="auto"/>
        </w:rPr>
        <w:t>服务评价机制</w:t>
      </w:r>
    </w:p>
    <w:p>
      <w:pPr>
        <w:numPr>
          <w:ilvl w:val="0"/>
          <w:numId w:val="13"/>
        </w:numPr>
        <w:ind w:firstLine="640"/>
      </w:pPr>
      <w:r>
        <w:rPr>
          <w:rFonts w:hint="eastAsia"/>
        </w:rPr>
        <w:t>属地教育部门在“阳光食堂”平台建立各类市场主体信息档案，记录各类市场主体名称、类型、社会信用代码、食品经营许可证等基本信息等。</w:t>
      </w:r>
    </w:p>
    <w:p>
      <w:pPr>
        <w:numPr>
          <w:ilvl w:val="0"/>
          <w:numId w:val="13"/>
        </w:numPr>
        <w:ind w:firstLine="640"/>
      </w:pPr>
      <w:r>
        <w:rPr>
          <w:rFonts w:hint="eastAsia"/>
        </w:rPr>
        <w:t>采用累计扣分的方法，动态记录市场主体的服务分值。每个市场主体在各设区市或县（市、区）的初始服务均为满分（</w:t>
      </w:r>
      <w:r>
        <w:t>100</w:t>
      </w:r>
      <w:r>
        <w:rPr>
          <w:rFonts w:hint="eastAsia"/>
        </w:rPr>
        <w:t>分），违规违约次数越多，分值越低，累计送货每500次可恢复1分，任何组织和个人不得篡改。</w:t>
      </w:r>
    </w:p>
    <w:p>
      <w:pPr>
        <w:numPr>
          <w:ilvl w:val="0"/>
          <w:numId w:val="13"/>
        </w:numPr>
        <w:ind w:firstLine="640"/>
      </w:pPr>
      <w:r>
        <w:rPr>
          <w:rFonts w:hint="eastAsia"/>
        </w:rPr>
        <w:t>市场主体的服务分值与招投标、食材实际竞价综合评分等挂钩，在实际运用时按占比进行换算。</w:t>
      </w:r>
    </w:p>
    <w:p>
      <w:pPr>
        <w:numPr>
          <w:ilvl w:val="0"/>
          <w:numId w:val="13"/>
        </w:numPr>
        <w:ind w:firstLine="640"/>
      </w:pPr>
      <w:r>
        <w:rPr>
          <w:rFonts w:hint="eastAsia"/>
        </w:rPr>
        <w:t>市场主体行为触发负面清单的，由学校按合同进行处理。</w:t>
      </w:r>
    </w:p>
    <w:p>
      <w:pPr>
        <w:numPr>
          <w:ilvl w:val="0"/>
          <w:numId w:val="13"/>
        </w:numPr>
        <w:ind w:firstLine="640"/>
      </w:pPr>
      <w:r>
        <w:rPr>
          <w:rFonts w:hint="eastAsia"/>
        </w:rPr>
        <w:t>市场主体行为触发退出机制的，由中小学食材招标工作组核实后终止合同，并根据违规情形建立市场主体信用目录。</w:t>
      </w:r>
    </w:p>
    <w:p>
      <w:pPr>
        <w:pStyle w:val="47"/>
        <w:spacing w:before="570" w:beforeLines="0" w:after="219"/>
        <w:rPr>
          <w:rFonts w:cs="Times New Roman"/>
          <w:color w:val="auto"/>
        </w:rPr>
      </w:pPr>
      <w:r>
        <w:rPr>
          <w:rFonts w:hint="eastAsia" w:cs="Times New Roman"/>
          <w:color w:val="auto"/>
        </w:rPr>
        <w:t>第三章</w:t>
      </w:r>
      <w:r>
        <w:rPr>
          <w:rFonts w:cs="Times New Roman"/>
          <w:color w:val="auto"/>
        </w:rPr>
        <w:t xml:space="preserve">  </w:t>
      </w:r>
      <w:r>
        <w:rPr>
          <w:rFonts w:hint="eastAsia" w:cs="Times New Roman"/>
          <w:color w:val="auto"/>
        </w:rPr>
        <w:t>委托运营食堂的餐饮服务单位评价</w:t>
      </w:r>
    </w:p>
    <w:p>
      <w:pPr>
        <w:numPr>
          <w:ilvl w:val="0"/>
          <w:numId w:val="13"/>
        </w:numPr>
        <w:overflowPunct/>
        <w:adjustRightInd/>
        <w:snapToGrid/>
        <w:ind w:firstLine="640"/>
      </w:pPr>
      <w:r>
        <w:rPr>
          <w:rFonts w:hint="eastAsia"/>
        </w:rPr>
        <w:t>委托运营食堂评价主体为中小学食材招标工作组、学校食堂管理工作组和学校膳食监督（管理）家长委员会，各方根据各自职能对餐饮服务单位进行评价。</w:t>
      </w:r>
    </w:p>
    <w:p>
      <w:pPr>
        <w:numPr>
          <w:ilvl w:val="0"/>
          <w:numId w:val="13"/>
        </w:numPr>
        <w:ind w:firstLine="640"/>
      </w:pPr>
      <w:r>
        <w:rPr>
          <w:rFonts w:hint="eastAsia"/>
        </w:rPr>
        <w:t>餐饮服务单位的生产经营</w:t>
      </w:r>
      <w:r>
        <w:rPr>
          <w:rFonts w:hint="eastAsia"/>
          <w:lang w:bidi="ar"/>
        </w:rPr>
        <w:t>触发负面清单</w:t>
      </w:r>
      <w:r>
        <w:rPr>
          <w:rFonts w:hint="eastAsia"/>
        </w:rPr>
        <w:t>（详见附1）</w:t>
      </w:r>
      <w:r>
        <w:rPr>
          <w:rFonts w:hint="eastAsia"/>
          <w:lang w:bidi="ar"/>
        </w:rPr>
        <w:t>的，则由学校按合同进行处理，并按</w:t>
      </w:r>
      <w:r>
        <w:rPr>
          <w:rFonts w:hint="eastAsia"/>
        </w:rPr>
        <w:t>负面清单扣分要求扣除服务分值。</w:t>
      </w:r>
    </w:p>
    <w:p>
      <w:pPr>
        <w:pStyle w:val="76"/>
        <w:numPr>
          <w:ilvl w:val="0"/>
          <w:numId w:val="13"/>
        </w:numPr>
        <w:ind w:firstLineChars="0"/>
      </w:pPr>
      <w:r>
        <w:rPr>
          <w:rFonts w:hint="eastAsia"/>
        </w:rPr>
        <w:t>餐饮服务单位的生产经营行为触发退出机制（详见附1）的，由中小学食材招标工作组核实后终止合同，并根据违规情形建立市场主体信用目录。</w:t>
      </w:r>
    </w:p>
    <w:p>
      <w:pPr>
        <w:pStyle w:val="47"/>
        <w:spacing w:before="570" w:after="219"/>
        <w:rPr>
          <w:rFonts w:cs="Times New Roman"/>
          <w:color w:val="auto"/>
        </w:rPr>
      </w:pPr>
      <w:r>
        <w:rPr>
          <w:rFonts w:hint="eastAsia" w:cs="Times New Roman"/>
          <w:color w:val="auto"/>
        </w:rPr>
        <w:t>第四章</w:t>
      </w:r>
      <w:r>
        <w:rPr>
          <w:rFonts w:cs="Times New Roman"/>
          <w:color w:val="auto"/>
        </w:rPr>
        <w:t xml:space="preserve">  </w:t>
      </w:r>
      <w:r>
        <w:rPr>
          <w:rFonts w:hint="eastAsia" w:cs="Times New Roman"/>
          <w:color w:val="auto"/>
        </w:rPr>
        <w:t>食材供应商评价</w:t>
      </w:r>
    </w:p>
    <w:p>
      <w:pPr>
        <w:numPr>
          <w:ilvl w:val="0"/>
          <w:numId w:val="13"/>
        </w:numPr>
        <w:ind w:firstLine="640"/>
      </w:pPr>
      <w:r>
        <w:rPr>
          <w:rFonts w:hint="eastAsia"/>
        </w:rPr>
        <w:t>食材供应商的评价主体为中小学食材招标工作组、学校食堂管理工作组、食材验收组和学校膳食监督（管理）家长委员会，各自评价食材供应商。</w:t>
      </w:r>
    </w:p>
    <w:p>
      <w:pPr>
        <w:numPr>
          <w:ilvl w:val="0"/>
          <w:numId w:val="13"/>
        </w:numPr>
        <w:ind w:firstLine="640"/>
      </w:pPr>
      <w:r>
        <w:rPr>
          <w:rFonts w:hint="eastAsia"/>
        </w:rPr>
        <w:t>食材供应商行为</w:t>
      </w:r>
      <w:r>
        <w:rPr>
          <w:rFonts w:hint="eastAsia"/>
          <w:lang w:bidi="ar"/>
        </w:rPr>
        <w:t>触发负面清单</w:t>
      </w:r>
      <w:r>
        <w:rPr>
          <w:rFonts w:hint="eastAsia"/>
        </w:rPr>
        <w:t>（详见附2）</w:t>
      </w:r>
      <w:r>
        <w:rPr>
          <w:rFonts w:hint="eastAsia"/>
          <w:lang w:bidi="ar"/>
        </w:rPr>
        <w:t>的，则由学校按合同进行处理，并按</w:t>
      </w:r>
      <w:r>
        <w:rPr>
          <w:rFonts w:hint="eastAsia"/>
        </w:rPr>
        <w:t>负面清单扣分要求扣除服务分值。</w:t>
      </w:r>
    </w:p>
    <w:p>
      <w:pPr>
        <w:numPr>
          <w:ilvl w:val="0"/>
          <w:numId w:val="13"/>
        </w:numPr>
        <w:ind w:firstLine="640"/>
      </w:pPr>
      <w:r>
        <w:rPr>
          <w:rFonts w:hint="eastAsia"/>
        </w:rPr>
        <w:t>食材供应商若对验收结果存在异议，且现场与食材验收组无法达成一致，则由学校向市场监管局提出认定申请，认定结果确实为食材供应商问题的，则触发退出机制。</w:t>
      </w:r>
    </w:p>
    <w:p>
      <w:pPr>
        <w:numPr>
          <w:ilvl w:val="0"/>
          <w:numId w:val="13"/>
        </w:numPr>
        <w:ind w:firstLine="640"/>
      </w:pPr>
      <w:r>
        <w:rPr>
          <w:rFonts w:hint="eastAsia"/>
        </w:rPr>
        <w:t>食材供应商行为触发退出机制</w:t>
      </w:r>
      <w:r>
        <w:rPr>
          <w:rFonts w:hint="eastAsia"/>
          <w:lang w:bidi="ar"/>
        </w:rPr>
        <w:t>（详见附2）</w:t>
      </w:r>
      <w:r>
        <w:rPr>
          <w:rFonts w:hint="eastAsia"/>
        </w:rPr>
        <w:t>的，</w:t>
      </w:r>
      <w:r>
        <w:rPr>
          <w:rFonts w:hint="eastAsia"/>
          <w:lang w:bidi="ar"/>
        </w:rPr>
        <w:t>由中小学食材招标工作组核实后终止合同，并根据违规情形建立市场主体信用目录。</w:t>
      </w:r>
    </w:p>
    <w:p>
      <w:pPr>
        <w:pStyle w:val="47"/>
        <w:spacing w:before="570" w:after="219"/>
        <w:rPr>
          <w:rFonts w:cs="Times New Roman"/>
          <w:color w:val="auto"/>
        </w:rPr>
      </w:pPr>
      <w:r>
        <w:rPr>
          <w:rFonts w:hint="eastAsia" w:cs="Times New Roman"/>
          <w:color w:val="auto"/>
        </w:rPr>
        <w:t>第五章</w:t>
      </w:r>
      <w:r>
        <w:rPr>
          <w:rFonts w:cs="Times New Roman"/>
          <w:color w:val="auto"/>
        </w:rPr>
        <w:t xml:space="preserve">  </w:t>
      </w:r>
      <w:r>
        <w:rPr>
          <w:rFonts w:hint="eastAsia" w:cs="Times New Roman"/>
          <w:color w:val="auto"/>
        </w:rPr>
        <w:t>校外供餐单位评价</w:t>
      </w:r>
    </w:p>
    <w:p>
      <w:pPr>
        <w:numPr>
          <w:ilvl w:val="0"/>
          <w:numId w:val="13"/>
        </w:numPr>
        <w:ind w:firstLine="640"/>
      </w:pPr>
      <w:r>
        <w:rPr>
          <w:rFonts w:hint="eastAsia"/>
        </w:rPr>
        <w:t>校外供餐单位的评价主体为中小学食材招标工作组、学校食堂管理工作组、食材验收组和学校膳食监督（管理）家长委员会，各自评价校外供餐单位，重点评价餐食的餐饮温度、数量、卫生、品质、色泽、口味、餐具安全和配送时效等情况。</w:t>
      </w:r>
    </w:p>
    <w:p>
      <w:pPr>
        <w:numPr>
          <w:ilvl w:val="0"/>
          <w:numId w:val="13"/>
        </w:numPr>
        <w:ind w:firstLine="640"/>
      </w:pPr>
      <w:r>
        <w:rPr>
          <w:rFonts w:hint="eastAsia"/>
        </w:rPr>
        <w:t>校外供餐单位行为</w:t>
      </w:r>
      <w:r>
        <w:rPr>
          <w:rFonts w:hint="eastAsia"/>
          <w:lang w:bidi="ar"/>
        </w:rPr>
        <w:t>触发负面清单</w:t>
      </w:r>
      <w:r>
        <w:rPr>
          <w:rFonts w:hint="eastAsia"/>
        </w:rPr>
        <w:t>（详见附3）</w:t>
      </w:r>
      <w:r>
        <w:rPr>
          <w:rFonts w:hint="eastAsia"/>
          <w:lang w:bidi="ar"/>
        </w:rPr>
        <w:t>的，则由学校按合同进行处理，并按</w:t>
      </w:r>
      <w:r>
        <w:rPr>
          <w:rFonts w:hint="eastAsia"/>
        </w:rPr>
        <w:t>负面清单扣分要求扣除服务分值。</w:t>
      </w:r>
    </w:p>
    <w:p>
      <w:pPr>
        <w:numPr>
          <w:ilvl w:val="0"/>
          <w:numId w:val="13"/>
        </w:numPr>
        <w:ind w:firstLine="640"/>
        <w:rPr>
          <w:lang w:bidi="ar"/>
        </w:rPr>
      </w:pPr>
      <w:r>
        <w:rPr>
          <w:rFonts w:hint="eastAsia"/>
        </w:rPr>
        <w:t>校外供餐单位行为触发退出机制</w:t>
      </w:r>
      <w:r>
        <w:rPr>
          <w:rFonts w:hint="eastAsia"/>
          <w:lang w:bidi="ar"/>
        </w:rPr>
        <w:t>（详见附3）</w:t>
      </w:r>
      <w:r>
        <w:rPr>
          <w:rFonts w:hint="eastAsia"/>
        </w:rPr>
        <w:t>的，</w:t>
      </w:r>
      <w:r>
        <w:rPr>
          <w:rFonts w:hint="eastAsia"/>
          <w:lang w:bidi="ar"/>
        </w:rPr>
        <w:t>第十七条 由中小学食材招标工作组核实后终止合同，并根据违规情形建立市场主体信用目录。</w:t>
      </w:r>
    </w:p>
    <w:p>
      <w:pPr>
        <w:ind w:firstLine="0" w:firstLineChars="0"/>
      </w:pPr>
    </w:p>
    <w:p>
      <w:pPr>
        <w:pStyle w:val="32"/>
        <w:ind w:left="1600" w:hanging="960" w:hangingChars="300"/>
        <w:rPr>
          <w:rFonts w:hint="default"/>
        </w:rPr>
      </w:pPr>
      <w:r>
        <w:rPr>
          <w:rFonts w:cs="Times New Roman"/>
        </w:rPr>
        <w:t>附：</w:t>
      </w:r>
      <w:r>
        <w:rPr>
          <w:rFonts w:hint="default" w:cs="Times New Roman"/>
        </w:rPr>
        <w:t>1.</w:t>
      </w:r>
      <w:r>
        <w:rPr>
          <w:rFonts w:cs="Times New Roman"/>
        </w:rPr>
        <w:t>委托运营食堂的餐饮服务单位服务评价</w:t>
      </w:r>
    </w:p>
    <w:p>
      <w:pPr>
        <w:pStyle w:val="31"/>
        <w:ind w:left="1600" w:leftChars="400"/>
      </w:pPr>
      <w:r>
        <w:rPr>
          <w:rFonts w:cs="Times New Roman"/>
        </w:rPr>
        <w:t>2.</w:t>
      </w:r>
      <w:r>
        <w:rPr>
          <w:rFonts w:hint="eastAsia" w:cs="Times New Roman"/>
        </w:rPr>
        <w:t>食材供应商服务评价</w:t>
      </w:r>
    </w:p>
    <w:p>
      <w:pPr>
        <w:pStyle w:val="31"/>
        <w:ind w:left="1600" w:leftChars="400"/>
      </w:pPr>
      <w:r>
        <w:rPr>
          <w:rFonts w:cs="Times New Roman"/>
        </w:rPr>
        <w:t>3.</w:t>
      </w:r>
      <w:r>
        <w:rPr>
          <w:rFonts w:hint="eastAsia" w:cs="Times New Roman"/>
        </w:rPr>
        <w:t>校外供餐单位服务评价</w:t>
      </w:r>
    </w:p>
    <w:p>
      <w:pPr>
        <w:ind w:firstLine="0" w:firstLineChars="0"/>
        <w:sectPr>
          <w:footerReference r:id="rId27" w:type="default"/>
          <w:pgSz w:w="11906" w:h="16838"/>
          <w:pgMar w:top="2098" w:right="1587" w:bottom="1984" w:left="1587" w:header="851" w:footer="1417" w:gutter="0"/>
          <w:cols w:space="0" w:num="1"/>
          <w:docGrid w:type="lines" w:linePitch="439" w:charSpace="0"/>
        </w:sectPr>
      </w:pPr>
      <w:r>
        <w:br w:type="page"/>
      </w:r>
    </w:p>
    <w:p>
      <w:pPr>
        <w:ind w:firstLine="0" w:firstLineChars="0"/>
      </w:pPr>
      <w:r>
        <w:rPr>
          <w:rFonts w:hint="eastAsia"/>
        </w:rPr>
        <w:t>附</w:t>
      </w:r>
      <w:r>
        <w:t>1</w:t>
      </w:r>
    </w:p>
    <w:p>
      <w:pPr>
        <w:pStyle w:val="47"/>
        <w:spacing w:before="351" w:beforeLines="80" w:after="219"/>
        <w:rPr>
          <w:rFonts w:cs="Times New Roman"/>
          <w:color w:val="auto"/>
          <w:szCs w:val="32"/>
        </w:rPr>
      </w:pPr>
      <w:r>
        <w:rPr>
          <w:rFonts w:hint="eastAsia" w:cs="Times New Roman"/>
          <w:color w:val="auto"/>
        </w:rPr>
        <w:t>委托运营食堂的餐饮服务单位服务评价</w:t>
      </w:r>
    </w:p>
    <w:tbl>
      <w:tblPr>
        <w:tblStyle w:val="24"/>
        <w:tblW w:w="9201"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52"/>
        <w:gridCol w:w="6140"/>
        <w:gridCol w:w="646"/>
        <w:gridCol w:w="646"/>
        <w:gridCol w:w="64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7261" w:type="dxa"/>
            <w:gridSpan w:val="3"/>
            <w:vMerge w:val="restart"/>
            <w:vAlign w:val="center"/>
          </w:tcPr>
          <w:p>
            <w:pPr>
              <w:overflowPunct/>
              <w:adjustRightInd/>
              <w:snapToGrid/>
              <w:spacing w:line="300" w:lineRule="exact"/>
              <w:ind w:firstLine="422"/>
              <w:jc w:val="center"/>
              <w:rPr>
                <w:rFonts w:eastAsia="宋体"/>
                <w:b/>
                <w:bCs/>
                <w:sz w:val="21"/>
                <w:szCs w:val="21"/>
              </w:rPr>
            </w:pPr>
            <w:r>
              <w:rPr>
                <w:rFonts w:hint="eastAsia" w:eastAsia="宋体"/>
                <w:b/>
                <w:bCs/>
                <w:sz w:val="21"/>
                <w:szCs w:val="21"/>
              </w:rPr>
              <w:t>服务行为</w:t>
            </w:r>
          </w:p>
        </w:tc>
        <w:tc>
          <w:tcPr>
            <w:tcW w:w="1940" w:type="dxa"/>
            <w:gridSpan w:val="3"/>
            <w:tcBorders>
              <w:bottom w:val="sing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扣分值</w:t>
            </w:r>
          </w:p>
          <w:p>
            <w:pPr>
              <w:overflowPunct/>
              <w:adjustRightInd/>
              <w:snapToGrid/>
              <w:spacing w:line="300" w:lineRule="exact"/>
              <w:ind w:firstLine="0" w:firstLineChars="0"/>
              <w:jc w:val="center"/>
              <w:rPr>
                <w:rFonts w:eastAsia="宋体"/>
                <w:b/>
                <w:bCs/>
                <w:sz w:val="21"/>
                <w:szCs w:val="21"/>
              </w:rPr>
            </w:pPr>
            <w:r>
              <w:rPr>
                <w:rFonts w:hint="eastAsia" w:eastAsia="宋体"/>
                <w:b/>
                <w:bCs/>
                <w:sz w:val="18"/>
                <w:szCs w:val="18"/>
              </w:rPr>
              <w:t>（按行为程度）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4" w:hRule="atLeast"/>
          <w:tblHeader/>
          <w:jc w:val="center"/>
        </w:trPr>
        <w:tc>
          <w:tcPr>
            <w:tcW w:w="7261" w:type="dxa"/>
            <w:gridSpan w:val="3"/>
            <w:vMerge w:val="continue"/>
            <w:tcBorders>
              <w:bottom w:val="double" w:color="auto" w:sz="4" w:space="0"/>
            </w:tcBorders>
            <w:vAlign w:val="center"/>
          </w:tcPr>
          <w:p>
            <w:pPr>
              <w:overflowPunct/>
              <w:adjustRightInd/>
              <w:snapToGrid/>
              <w:spacing w:line="300" w:lineRule="exact"/>
              <w:ind w:firstLine="422"/>
              <w:jc w:val="center"/>
              <w:rPr>
                <w:rFonts w:eastAsia="宋体"/>
                <w:b/>
                <w:bCs/>
                <w:sz w:val="21"/>
                <w:szCs w:val="21"/>
              </w:rPr>
            </w:pPr>
          </w:p>
        </w:tc>
        <w:tc>
          <w:tcPr>
            <w:tcW w:w="646"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一般</w:t>
            </w:r>
          </w:p>
        </w:tc>
        <w:tc>
          <w:tcPr>
            <w:tcW w:w="646"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严重</w:t>
            </w:r>
          </w:p>
        </w:tc>
        <w:tc>
          <w:tcPr>
            <w:tcW w:w="648"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特别严重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69" w:type="dxa"/>
            <w:vMerge w:val="restart"/>
            <w:tcBorders>
              <w:top w:val="double" w:color="auto" w:sz="4" w:space="0"/>
            </w:tcBorders>
            <w:vAlign w:val="center"/>
          </w:tcPr>
          <w:p>
            <w:pPr>
              <w:spacing w:line="360" w:lineRule="auto"/>
              <w:ind w:firstLine="0" w:firstLineChars="0"/>
              <w:jc w:val="center"/>
              <w:rPr>
                <w:rFonts w:eastAsia="宋体"/>
                <w:sz w:val="21"/>
                <w:szCs w:val="21"/>
              </w:rPr>
            </w:pPr>
            <w:r>
              <w:rPr>
                <w:rFonts w:hint="eastAsia" w:eastAsia="宋体"/>
                <w:sz w:val="21"/>
                <w:szCs w:val="21"/>
              </w:rPr>
              <w:t>负面清单扣分项</w:t>
            </w:r>
          </w:p>
        </w:tc>
        <w:tc>
          <w:tcPr>
            <w:tcW w:w="452"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1</w:t>
            </w:r>
          </w:p>
        </w:tc>
        <w:tc>
          <w:tcPr>
            <w:tcW w:w="6140" w:type="dxa"/>
            <w:tcBorders>
              <w:top w:val="double" w:color="auto" w:sz="4" w:space="0"/>
            </w:tcBorders>
            <w:vAlign w:val="center"/>
          </w:tcPr>
          <w:p>
            <w:pPr>
              <w:spacing w:line="300" w:lineRule="exact"/>
              <w:ind w:firstLine="0" w:firstLineChars="0"/>
              <w:rPr>
                <w:rFonts w:eastAsia="宋体"/>
                <w:sz w:val="21"/>
                <w:szCs w:val="21"/>
              </w:rPr>
            </w:pPr>
            <w:r>
              <w:rPr>
                <w:rFonts w:hint="eastAsia" w:eastAsia="宋体"/>
                <w:sz w:val="21"/>
                <w:szCs w:val="21"/>
              </w:rPr>
              <w:t>未建立、健全本单位安全生产责任制、安全生产规章制度和操作规程，且按相关职能部门规定操作。</w:t>
            </w:r>
          </w:p>
        </w:tc>
        <w:tc>
          <w:tcPr>
            <w:tcW w:w="646"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2</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在食堂运营过程中存在不符合食品安全标准的行为。</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3</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未建立健全并严格执行食品安全管理制度，未（忽视）对职工进行食品安全知识等培训。</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4</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不能积极配合监管部门及学校的日常监督检查。</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5</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未根据学校提出的合理要求改善服务质量。</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6</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未制定相关应急预案。</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7</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在食堂运营过程中违规使用不符合法律法规或者食品安全标准的药品、食品、食品添加剂、食品相关产品。</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8</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提供蔬菜、水果以及按照国际惯例或者民族习惯需要提供的食品不符合食品安全要求。</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9</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 xml:space="preserve">未按照保证食品安全的要求贮存食品和定期检查库存食品，存在变质或者超过保质期的食品。 </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10</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未按要求定期维护食品加工、贮存、陈列等设施、设备。未定期清洗、校验保温设施及冷藏、冷冻等设施。</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11</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未按规定对每餐次加工制作的每种食品成品进行留样。</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12</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未对食堂产生的餐厨废弃物在餐后及时清除，并按照环保要求分类处理。</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13</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食堂人员未实行每年健康检查，存在无健康证明上岗情况。</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ind w:firstLine="0" w:firstLineChars="0"/>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14</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食堂人员私自夹带食材、食品或私自收取餐费。</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ind w:firstLine="0" w:firstLineChars="0"/>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15</w:t>
            </w:r>
          </w:p>
        </w:tc>
        <w:tc>
          <w:tcPr>
            <w:tcW w:w="6140" w:type="dxa"/>
            <w:vAlign w:val="center"/>
          </w:tcPr>
          <w:p>
            <w:pPr>
              <w:spacing w:line="300" w:lineRule="exact"/>
              <w:ind w:firstLine="0" w:firstLineChars="0"/>
              <w:rPr>
                <w:rFonts w:eastAsia="宋体"/>
                <w:sz w:val="21"/>
                <w:szCs w:val="21"/>
              </w:rPr>
            </w:pPr>
            <w:r>
              <w:rPr>
                <w:rFonts w:hint="eastAsia" w:eastAsia="宋体"/>
                <w:sz w:val="21"/>
                <w:szCs w:val="21"/>
              </w:rPr>
              <w:t>食堂人员未按照要求对餐具、饮具进行清洗消毒，使用未经清洗消毒的餐具、饮具。</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646"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64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tcBorders>
              <w:bottom w:val="double" w:color="auto" w:sz="4" w:space="0"/>
            </w:tcBorders>
            <w:vAlign w:val="center"/>
          </w:tcPr>
          <w:p>
            <w:pPr>
              <w:spacing w:line="360" w:lineRule="auto"/>
              <w:rPr>
                <w:rFonts w:eastAsia="宋体"/>
                <w:sz w:val="21"/>
                <w:szCs w:val="21"/>
              </w:rPr>
            </w:pPr>
          </w:p>
        </w:tc>
        <w:tc>
          <w:tcPr>
            <w:tcW w:w="452" w:type="dxa"/>
            <w:tcBorders>
              <w:bottom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p>
        </w:tc>
        <w:tc>
          <w:tcPr>
            <w:tcW w:w="8080" w:type="dxa"/>
            <w:gridSpan w:val="4"/>
            <w:tcBorders>
              <w:bottom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tcBorders>
              <w:top w:val="double" w:color="auto" w:sz="4" w:space="0"/>
              <w:tl2br w:val="nil"/>
              <w:tr2bl w:val="nil"/>
            </w:tcBorders>
            <w:vAlign w:val="center"/>
          </w:tcPr>
          <w:p>
            <w:pPr>
              <w:spacing w:line="360" w:lineRule="auto"/>
              <w:ind w:firstLine="0" w:firstLineChars="0"/>
              <w:jc w:val="center"/>
              <w:rPr>
                <w:rFonts w:eastAsia="宋体"/>
                <w:sz w:val="21"/>
                <w:szCs w:val="21"/>
              </w:rPr>
            </w:pPr>
            <w:r>
              <w:rPr>
                <w:rFonts w:hint="eastAsia" w:eastAsia="宋体"/>
                <w:sz w:val="21"/>
                <w:szCs w:val="21"/>
              </w:rPr>
              <w:t>触发退出机制</w:t>
            </w:r>
          </w:p>
        </w:tc>
        <w:tc>
          <w:tcPr>
            <w:tcW w:w="452" w:type="dxa"/>
            <w:tcBorders>
              <w:top w:val="double" w:color="auto" w:sz="4" w:space="0"/>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w:t>
            </w:r>
          </w:p>
        </w:tc>
        <w:tc>
          <w:tcPr>
            <w:tcW w:w="8080" w:type="dxa"/>
            <w:gridSpan w:val="4"/>
            <w:tcBorders>
              <w:top w:val="double" w:color="auto" w:sz="4" w:space="0"/>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因餐饮服务单位方面原因引起食品安全事故，造成严重后果。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2</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在履行合同期间向采购人、学校人员有行贿行为或司法机关认定有犯罪行为。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3</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一年之内违反《食品安全法》行为被处以两次及以上责令改正、警告或较重罚款或责令停产停业的、吊销许可证或构成犯罪移送司法机关。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4</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存在拒绝、阻挠有关部门检查或暴力抗法行为。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5</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在服务过程中存在严重安全隐患或学校集中反映意见大的，经相关部门约谈、督促整改，不到位的。</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6</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将部分服务分包或转包给他人或其他单位。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7</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在投标中存在串标、围标、恶意低价竞标、恶意哄抬价格等违纪违法行为。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8</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法定代表人被列入失信名单。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9</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伪造或故意破坏现场，存在转移、隐匿、伪造、销毁有关证据资料行为。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10</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未履行投标报价时的一切承诺。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11</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不能提供学校要求提供的食品安全等方面相关材料，且学校评价为不合格。</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12</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提供的相关信息、凭证、资料有造假情况。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13</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设备及人员配置、经济实力、服务能力等与承诺不一致，存在相关投诉。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14</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未建立并执行从业人员健康管理制度，存在患有国务院卫生行政部门规定的有碍食品安全疾病的人员从事接触直接入口食品的工作的情况。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15</w:t>
            </w:r>
          </w:p>
        </w:tc>
        <w:tc>
          <w:tcPr>
            <w:tcW w:w="8080"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食堂人员私自夹带食材、食品或私自收取餐费，情节严重、社会影响大。</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w:t>
            </w:r>
          </w:p>
        </w:tc>
        <w:tc>
          <w:tcPr>
            <w:tcW w:w="8080" w:type="dxa"/>
            <w:gridSpan w:val="4"/>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w:t>
            </w:r>
          </w:p>
        </w:tc>
      </w:tr>
    </w:tbl>
    <w:p>
      <w:pPr>
        <w:numPr>
          <w:ilvl w:val="255"/>
          <w:numId w:val="0"/>
        </w:numPr>
        <w:overflowPunct/>
        <w:adjustRightInd/>
        <w:snapToGrid/>
        <w:jc w:val="left"/>
        <w:rPr>
          <w:rFonts w:eastAsia="楷体"/>
          <w:sz w:val="21"/>
          <w:szCs w:val="21"/>
        </w:rPr>
      </w:pPr>
      <w:r>
        <w:rPr>
          <w:rFonts w:eastAsia="楷体"/>
          <w:sz w:val="21"/>
          <w:szCs w:val="21"/>
        </w:rPr>
        <w:br w:type="page"/>
      </w:r>
    </w:p>
    <w:p>
      <w:pPr>
        <w:ind w:firstLine="0" w:firstLineChars="0"/>
      </w:pPr>
      <w:r>
        <w:rPr>
          <w:rFonts w:hint="eastAsia"/>
        </w:rPr>
        <w:t>附</w:t>
      </w:r>
      <w:r>
        <w:t>2</w:t>
      </w:r>
    </w:p>
    <w:p>
      <w:pPr>
        <w:pStyle w:val="47"/>
        <w:spacing w:before="351" w:beforeLines="80" w:after="219"/>
        <w:rPr>
          <w:rFonts w:cs="Times New Roman"/>
          <w:color w:val="auto"/>
          <w:szCs w:val="32"/>
        </w:rPr>
      </w:pPr>
      <w:r>
        <w:rPr>
          <w:rFonts w:hint="eastAsia" w:cs="Times New Roman"/>
          <w:color w:val="auto"/>
        </w:rPr>
        <w:t>食材供应商服务评价</w:t>
      </w:r>
    </w:p>
    <w:tbl>
      <w:tblPr>
        <w:tblStyle w:val="23"/>
        <w:tblW w:w="936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52"/>
        <w:gridCol w:w="6056"/>
        <w:gridCol w:w="728"/>
        <w:gridCol w:w="728"/>
        <w:gridCol w:w="72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69" w:hRule="atLeast"/>
          <w:tblHeader/>
          <w:jc w:val="center"/>
        </w:trPr>
        <w:tc>
          <w:tcPr>
            <w:tcW w:w="7177" w:type="dxa"/>
            <w:gridSpan w:val="3"/>
            <w:vMerge w:val="restart"/>
            <w:vAlign w:val="center"/>
          </w:tcPr>
          <w:p>
            <w:pPr>
              <w:overflowPunct/>
              <w:adjustRightInd/>
              <w:snapToGrid/>
              <w:spacing w:line="300" w:lineRule="exact"/>
              <w:ind w:firstLine="422"/>
              <w:jc w:val="center"/>
              <w:rPr>
                <w:rFonts w:eastAsia="宋体"/>
                <w:b/>
                <w:bCs/>
                <w:sz w:val="21"/>
                <w:szCs w:val="21"/>
              </w:rPr>
            </w:pPr>
            <w:r>
              <w:rPr>
                <w:rFonts w:hint="eastAsia" w:eastAsia="宋体"/>
                <w:b/>
                <w:bCs/>
                <w:sz w:val="21"/>
                <w:szCs w:val="21"/>
              </w:rPr>
              <w:t>服务行为</w:t>
            </w:r>
          </w:p>
        </w:tc>
        <w:tc>
          <w:tcPr>
            <w:tcW w:w="2185" w:type="dxa"/>
            <w:gridSpan w:val="3"/>
            <w:tcBorders>
              <w:bottom w:val="sing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扣分值</w:t>
            </w:r>
          </w:p>
          <w:p>
            <w:pPr>
              <w:overflowPunct/>
              <w:adjustRightInd/>
              <w:snapToGrid/>
              <w:spacing w:line="300" w:lineRule="exact"/>
              <w:ind w:firstLine="0" w:firstLineChars="0"/>
              <w:jc w:val="center"/>
              <w:rPr>
                <w:rFonts w:eastAsia="宋体"/>
                <w:b/>
                <w:bCs/>
                <w:sz w:val="21"/>
                <w:szCs w:val="21"/>
              </w:rPr>
            </w:pPr>
            <w:r>
              <w:rPr>
                <w:rFonts w:hint="eastAsia" w:eastAsia="宋体"/>
                <w:b/>
                <w:bCs/>
                <w:sz w:val="18"/>
                <w:szCs w:val="18"/>
              </w:rPr>
              <w:t>（按行为程度）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44" w:hRule="atLeast"/>
          <w:tblHeader/>
          <w:jc w:val="center"/>
        </w:trPr>
        <w:tc>
          <w:tcPr>
            <w:tcW w:w="7177" w:type="dxa"/>
            <w:gridSpan w:val="3"/>
            <w:vMerge w:val="continue"/>
            <w:tcBorders>
              <w:bottom w:val="double" w:color="auto" w:sz="4" w:space="0"/>
            </w:tcBorders>
            <w:vAlign w:val="center"/>
          </w:tcPr>
          <w:p>
            <w:pPr>
              <w:overflowPunct/>
              <w:adjustRightInd/>
              <w:snapToGrid/>
              <w:spacing w:line="300" w:lineRule="exact"/>
              <w:ind w:firstLine="422"/>
              <w:jc w:val="center"/>
              <w:rPr>
                <w:rFonts w:eastAsia="宋体"/>
                <w:b/>
                <w:bCs/>
                <w:sz w:val="21"/>
                <w:szCs w:val="21"/>
              </w:rPr>
            </w:pPr>
          </w:p>
        </w:tc>
        <w:tc>
          <w:tcPr>
            <w:tcW w:w="728"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一般</w:t>
            </w:r>
          </w:p>
        </w:tc>
        <w:tc>
          <w:tcPr>
            <w:tcW w:w="728"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严重</w:t>
            </w:r>
          </w:p>
        </w:tc>
        <w:tc>
          <w:tcPr>
            <w:tcW w:w="729"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特别严重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69" w:type="dxa"/>
            <w:vMerge w:val="restart"/>
            <w:tcBorders>
              <w:top w:val="double" w:color="auto" w:sz="4" w:space="0"/>
            </w:tcBorders>
            <w:vAlign w:val="center"/>
          </w:tcPr>
          <w:p>
            <w:pPr>
              <w:spacing w:line="360" w:lineRule="auto"/>
              <w:ind w:firstLine="0" w:firstLineChars="0"/>
              <w:jc w:val="center"/>
              <w:rPr>
                <w:rFonts w:eastAsia="宋体"/>
                <w:sz w:val="21"/>
                <w:szCs w:val="21"/>
              </w:rPr>
            </w:pPr>
            <w:r>
              <w:rPr>
                <w:rFonts w:hint="eastAsia" w:eastAsia="宋体"/>
                <w:sz w:val="21"/>
                <w:szCs w:val="21"/>
              </w:rPr>
              <w:t>负面清单扣分项</w:t>
            </w:r>
          </w:p>
        </w:tc>
        <w:tc>
          <w:tcPr>
            <w:tcW w:w="452" w:type="dxa"/>
            <w:tcBorders>
              <w:top w:val="double" w:color="auto" w:sz="4" w:space="0"/>
            </w:tcBorders>
            <w:vAlign w:val="center"/>
          </w:tcPr>
          <w:p>
            <w:pPr>
              <w:spacing w:line="300" w:lineRule="exact"/>
              <w:ind w:firstLine="0" w:firstLineChars="0"/>
              <w:jc w:val="center"/>
              <w:rPr>
                <w:rFonts w:eastAsia="宋体"/>
                <w:sz w:val="21"/>
                <w:szCs w:val="21"/>
              </w:rPr>
            </w:pPr>
            <w:r>
              <w:rPr>
                <w:rFonts w:eastAsia="宋体"/>
                <w:sz w:val="21"/>
                <w:szCs w:val="21"/>
              </w:rPr>
              <w:t>1</w:t>
            </w:r>
          </w:p>
        </w:tc>
        <w:tc>
          <w:tcPr>
            <w:tcW w:w="6056" w:type="dxa"/>
            <w:tcBorders>
              <w:top w:val="double" w:color="auto" w:sz="4" w:space="0"/>
            </w:tcBorders>
            <w:vAlign w:val="center"/>
          </w:tcPr>
          <w:p>
            <w:pPr>
              <w:spacing w:line="300" w:lineRule="exact"/>
              <w:ind w:firstLine="0" w:firstLineChars="0"/>
              <w:rPr>
                <w:rFonts w:eastAsia="宋体"/>
                <w:sz w:val="21"/>
                <w:szCs w:val="21"/>
              </w:rPr>
            </w:pPr>
            <w:r>
              <w:rPr>
                <w:rFonts w:hint="eastAsia" w:eastAsia="宋体"/>
                <w:sz w:val="21"/>
                <w:szCs w:val="21"/>
              </w:rPr>
              <w:t>供应商供应食材不符合合同规定验收标准。</w:t>
            </w:r>
          </w:p>
        </w:tc>
        <w:tc>
          <w:tcPr>
            <w:tcW w:w="728"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2</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供应食材有漏发、漏送、迟到情况。</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3</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未按照食材品类的配送要求，使用相应的封闭式专用配送车辆或使用其他社会车辆供应食材。</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4</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向学校食堂提供符合食品卫生监督部门要求的相关食材检测资料及票证不齐全。</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5</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动物性食品、水产品、植物性食品未分类混装、未使用专用周转框箱。</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6</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送货单（结算凭证）项目不清晰、不完整。</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7</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不参与实际竞价或在实际竞价中不按要求报价。</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8</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当期食材报价存在漏报、错报。</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300" w:lineRule="exact"/>
              <w:ind w:firstLine="0" w:firstLineChars="0"/>
              <w:jc w:val="center"/>
              <w:rPr>
                <w:rFonts w:eastAsia="宋体"/>
                <w:sz w:val="21"/>
                <w:szCs w:val="21"/>
              </w:rPr>
            </w:pPr>
            <w:r>
              <w:rPr>
                <w:rFonts w:eastAsia="宋体"/>
                <w:sz w:val="21"/>
                <w:szCs w:val="21"/>
              </w:rPr>
              <w:t>9</w:t>
            </w:r>
          </w:p>
        </w:tc>
        <w:tc>
          <w:tcPr>
            <w:tcW w:w="6056" w:type="dxa"/>
            <w:vAlign w:val="center"/>
          </w:tcPr>
          <w:p>
            <w:pPr>
              <w:spacing w:line="300" w:lineRule="exact"/>
              <w:ind w:firstLine="0" w:firstLineChars="0"/>
              <w:rPr>
                <w:rFonts w:eastAsia="宋体"/>
                <w:sz w:val="21"/>
                <w:szCs w:val="21"/>
              </w:rPr>
            </w:pPr>
            <w:r>
              <w:rPr>
                <w:rFonts w:hint="eastAsia" w:eastAsia="宋体"/>
                <w:sz w:val="21"/>
                <w:szCs w:val="21"/>
              </w:rPr>
              <w:t>未建立并严格执行食品安全卫生制度、配备且使用专门设备。</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28"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29"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69" w:type="dxa"/>
            <w:vMerge w:val="continue"/>
            <w:tcBorders>
              <w:bottom w:val="double" w:color="auto" w:sz="4" w:space="0"/>
            </w:tcBorders>
            <w:vAlign w:val="center"/>
          </w:tcPr>
          <w:p>
            <w:pPr>
              <w:spacing w:line="360" w:lineRule="auto"/>
              <w:rPr>
                <w:rFonts w:eastAsia="宋体"/>
                <w:sz w:val="21"/>
                <w:szCs w:val="21"/>
              </w:rPr>
            </w:pPr>
          </w:p>
        </w:tc>
        <w:tc>
          <w:tcPr>
            <w:tcW w:w="452" w:type="dxa"/>
            <w:tcBorders>
              <w:bottom w:val="double" w:color="auto" w:sz="4" w:space="0"/>
            </w:tcBorders>
            <w:vAlign w:val="center"/>
          </w:tcPr>
          <w:p>
            <w:pPr>
              <w:spacing w:line="300" w:lineRule="exact"/>
              <w:ind w:firstLine="0" w:firstLineChars="0"/>
              <w:jc w:val="center"/>
              <w:rPr>
                <w:rFonts w:eastAsia="宋体"/>
                <w:sz w:val="21"/>
                <w:szCs w:val="21"/>
              </w:rPr>
            </w:pPr>
            <w:r>
              <w:rPr>
                <w:rFonts w:eastAsia="宋体"/>
                <w:sz w:val="21"/>
                <w:szCs w:val="21"/>
              </w:rPr>
              <w:t>…</w:t>
            </w:r>
          </w:p>
        </w:tc>
        <w:tc>
          <w:tcPr>
            <w:tcW w:w="8241" w:type="dxa"/>
            <w:gridSpan w:val="4"/>
            <w:tcBorders>
              <w:bottom w:val="double" w:color="auto" w:sz="4" w:space="0"/>
            </w:tcBorders>
            <w:vAlign w:val="center"/>
          </w:tcPr>
          <w:p>
            <w:pPr>
              <w:spacing w:line="300" w:lineRule="exact"/>
              <w:ind w:firstLine="0" w:firstLineChars="0"/>
              <w:jc w:val="center"/>
              <w:rPr>
                <w:rFonts w:eastAsia="宋体"/>
                <w:sz w:val="21"/>
                <w:szCs w:val="21"/>
              </w:rPr>
            </w:pPr>
            <w:r>
              <w:rPr>
                <w:rFonts w:eastAsia="宋体"/>
                <w:sz w:val="21"/>
                <w:szCs w:val="21"/>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tcBorders>
              <w:top w:val="double" w:color="auto" w:sz="4" w:space="0"/>
              <w:tl2br w:val="nil"/>
              <w:tr2bl w:val="nil"/>
            </w:tcBorders>
            <w:vAlign w:val="center"/>
          </w:tcPr>
          <w:p>
            <w:pPr>
              <w:spacing w:line="360" w:lineRule="auto"/>
              <w:ind w:firstLine="0" w:firstLineChars="0"/>
              <w:jc w:val="center"/>
              <w:rPr>
                <w:rFonts w:eastAsia="宋体"/>
                <w:sz w:val="21"/>
                <w:szCs w:val="21"/>
              </w:rPr>
            </w:pPr>
            <w:r>
              <w:rPr>
                <w:rFonts w:hint="eastAsia" w:eastAsia="宋体"/>
                <w:sz w:val="21"/>
                <w:szCs w:val="21"/>
              </w:rPr>
              <w:t>触发退出机制</w:t>
            </w:r>
          </w:p>
        </w:tc>
        <w:tc>
          <w:tcPr>
            <w:tcW w:w="452" w:type="dxa"/>
            <w:tcBorders>
              <w:top w:val="double" w:color="auto" w:sz="4" w:space="0"/>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w:t>
            </w:r>
          </w:p>
        </w:tc>
        <w:tc>
          <w:tcPr>
            <w:tcW w:w="8241" w:type="dxa"/>
            <w:gridSpan w:val="4"/>
            <w:tcBorders>
              <w:top w:val="double" w:color="auto" w:sz="4" w:space="0"/>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因供货食材问题而发生校园食品安全事故。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2</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将部分或全部食材供应工作分包或转包。</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3</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以缺货、亏本等原因（不可抗力因素除外）拒不供货的或擅自供应食材库外的食材。</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4</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供货中存在无理取闹、胡搅蛮缠、捏造事实及恶意投诉举报行为。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5</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向学校提供假冒伪劣食材，擅自更换中标品种、降低供货品级，以物换物、以次充好。</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6</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存在向学校食堂从业人员含厨师、验收人员、保管员、会计及其他管理者行贿行为的或与上述人员勾结，出现以次充好、虚报数量、虚开发票等行为。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7</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存在串标、围标、恶意低价竞标、恶意哄抬价格等违规行为。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8</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一年之内违反《食品安全法》行为被处以两次及以上责令改正、警告或较重罚款或责令停产停业的、吊销许可证或构成犯罪移送司法机关。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9</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拒绝、阻挠有关部门检查或暴力抗法。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10</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伪造或故意破坏现场的，转移、隐匿、伪造、销毁有关证据资料。</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11</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供应商或法定代表人被列入失信名单。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hint="eastAsia" w:eastAsia="宋体"/>
                <w:sz w:val="21"/>
                <w:szCs w:val="21"/>
              </w:rPr>
              <w:t>12</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服务分低于70分。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hint="eastAsia" w:eastAsia="宋体"/>
                <w:sz w:val="21"/>
                <w:szCs w:val="21"/>
              </w:rPr>
              <w:t>13</w:t>
            </w:r>
          </w:p>
        </w:tc>
        <w:tc>
          <w:tcPr>
            <w:tcW w:w="8241" w:type="dxa"/>
            <w:gridSpan w:val="4"/>
            <w:tcBorders>
              <w:tl2br w:val="nil"/>
              <w:tr2bl w:val="nil"/>
            </w:tcBorders>
            <w:vAlign w:val="center"/>
          </w:tcPr>
          <w:p>
            <w:pPr>
              <w:spacing w:line="240" w:lineRule="auto"/>
              <w:ind w:firstLine="0" w:firstLineChars="0"/>
              <w:jc w:val="left"/>
              <w:rPr>
                <w:rFonts w:eastAsia="宋体"/>
                <w:sz w:val="21"/>
                <w:szCs w:val="21"/>
              </w:rPr>
            </w:pPr>
            <w:r>
              <w:rPr>
                <w:rFonts w:eastAsia="宋体"/>
                <w:sz w:val="21"/>
                <w:szCs w:val="21"/>
              </w:rPr>
              <w:t>……</w:t>
            </w:r>
          </w:p>
        </w:tc>
      </w:tr>
    </w:tbl>
    <w:p>
      <w:pPr>
        <w:ind w:firstLine="0" w:firstLineChars="0"/>
      </w:pPr>
      <w:r>
        <w:rPr>
          <w:rFonts w:hint="eastAsia"/>
        </w:rPr>
        <w:br w:type="page"/>
      </w:r>
    </w:p>
    <w:p>
      <w:pPr>
        <w:ind w:firstLine="0" w:firstLineChars="0"/>
      </w:pPr>
      <w:r>
        <w:rPr>
          <w:rFonts w:hint="eastAsia"/>
        </w:rPr>
        <w:t>附</w:t>
      </w:r>
      <w:r>
        <w:t>3</w:t>
      </w:r>
    </w:p>
    <w:p>
      <w:pPr>
        <w:pStyle w:val="47"/>
        <w:spacing w:before="351" w:beforeLines="80" w:after="219"/>
        <w:rPr>
          <w:rFonts w:cs="Times New Roman"/>
          <w:color w:val="auto"/>
          <w:szCs w:val="32"/>
        </w:rPr>
      </w:pPr>
      <w:r>
        <w:rPr>
          <w:rFonts w:hint="eastAsia" w:cs="Times New Roman"/>
          <w:color w:val="auto"/>
        </w:rPr>
        <w:t>校外供餐单位服务评价</w:t>
      </w:r>
    </w:p>
    <w:tbl>
      <w:tblPr>
        <w:tblStyle w:val="23"/>
        <w:tblW w:w="952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452"/>
        <w:gridCol w:w="6088"/>
        <w:gridCol w:w="771"/>
        <w:gridCol w:w="771"/>
        <w:gridCol w:w="77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9" w:type="dxa"/>
            <w:gridSpan w:val="3"/>
            <w:vMerge w:val="restart"/>
            <w:vAlign w:val="center"/>
          </w:tcPr>
          <w:p>
            <w:pPr>
              <w:overflowPunct/>
              <w:adjustRightInd/>
              <w:snapToGrid/>
              <w:spacing w:line="300" w:lineRule="exact"/>
              <w:ind w:firstLine="422"/>
              <w:jc w:val="center"/>
              <w:rPr>
                <w:rFonts w:eastAsia="宋体"/>
                <w:b/>
                <w:bCs/>
                <w:sz w:val="21"/>
                <w:szCs w:val="21"/>
              </w:rPr>
            </w:pPr>
            <w:r>
              <w:rPr>
                <w:rFonts w:hint="eastAsia" w:eastAsia="宋体"/>
                <w:b/>
                <w:bCs/>
                <w:sz w:val="21"/>
                <w:szCs w:val="21"/>
              </w:rPr>
              <w:t>服务行为</w:t>
            </w:r>
          </w:p>
        </w:tc>
        <w:tc>
          <w:tcPr>
            <w:tcW w:w="2315" w:type="dxa"/>
            <w:gridSpan w:val="3"/>
            <w:tcBorders>
              <w:bottom w:val="sing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扣分值</w:t>
            </w:r>
          </w:p>
          <w:p>
            <w:pPr>
              <w:overflowPunct/>
              <w:adjustRightInd/>
              <w:snapToGrid/>
              <w:spacing w:line="300" w:lineRule="exact"/>
              <w:ind w:firstLine="0" w:firstLineChars="0"/>
              <w:jc w:val="center"/>
              <w:rPr>
                <w:rFonts w:eastAsia="宋体"/>
                <w:b/>
                <w:bCs/>
                <w:sz w:val="21"/>
                <w:szCs w:val="21"/>
              </w:rPr>
            </w:pPr>
            <w:r>
              <w:rPr>
                <w:rFonts w:hint="eastAsia" w:eastAsia="宋体"/>
                <w:b/>
                <w:bCs/>
                <w:sz w:val="18"/>
                <w:szCs w:val="18"/>
              </w:rPr>
              <w:t>（按行为程度）</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9" w:type="dxa"/>
            <w:gridSpan w:val="3"/>
            <w:vMerge w:val="continue"/>
            <w:tcBorders>
              <w:bottom w:val="double" w:color="auto" w:sz="4" w:space="0"/>
            </w:tcBorders>
            <w:vAlign w:val="center"/>
          </w:tcPr>
          <w:p>
            <w:pPr>
              <w:overflowPunct/>
              <w:adjustRightInd/>
              <w:snapToGrid/>
              <w:spacing w:line="300" w:lineRule="exact"/>
              <w:ind w:firstLine="422"/>
              <w:jc w:val="center"/>
              <w:rPr>
                <w:rFonts w:eastAsia="宋体"/>
                <w:b/>
                <w:bCs/>
                <w:sz w:val="21"/>
                <w:szCs w:val="21"/>
              </w:rPr>
            </w:pPr>
          </w:p>
        </w:tc>
        <w:tc>
          <w:tcPr>
            <w:tcW w:w="771"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一般</w:t>
            </w:r>
          </w:p>
        </w:tc>
        <w:tc>
          <w:tcPr>
            <w:tcW w:w="771"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严重</w:t>
            </w:r>
          </w:p>
        </w:tc>
        <w:tc>
          <w:tcPr>
            <w:tcW w:w="773" w:type="dxa"/>
            <w:tcBorders>
              <w:bottom w:val="double" w:color="auto" w:sz="4" w:space="0"/>
            </w:tcBorders>
            <w:vAlign w:val="center"/>
          </w:tcPr>
          <w:p>
            <w:pPr>
              <w:overflowPunct/>
              <w:adjustRightInd/>
              <w:snapToGrid/>
              <w:spacing w:line="300" w:lineRule="exact"/>
              <w:ind w:firstLine="0" w:firstLineChars="0"/>
              <w:jc w:val="center"/>
              <w:rPr>
                <w:rFonts w:eastAsia="宋体"/>
                <w:b/>
                <w:bCs/>
                <w:sz w:val="21"/>
                <w:szCs w:val="21"/>
              </w:rPr>
            </w:pPr>
            <w:r>
              <w:rPr>
                <w:rFonts w:hint="eastAsia" w:eastAsia="宋体"/>
                <w:b/>
                <w:bCs/>
                <w:sz w:val="21"/>
                <w:szCs w:val="21"/>
              </w:rPr>
              <w:t>特别严重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669" w:type="dxa"/>
            <w:vMerge w:val="restart"/>
            <w:tcBorders>
              <w:top w:val="double" w:color="auto" w:sz="4" w:space="0"/>
            </w:tcBorders>
            <w:vAlign w:val="center"/>
          </w:tcPr>
          <w:p>
            <w:pPr>
              <w:spacing w:line="360" w:lineRule="auto"/>
              <w:ind w:firstLine="0" w:firstLineChars="0"/>
              <w:jc w:val="center"/>
              <w:rPr>
                <w:rFonts w:eastAsia="宋体"/>
                <w:sz w:val="21"/>
                <w:szCs w:val="21"/>
              </w:rPr>
            </w:pPr>
            <w:r>
              <w:rPr>
                <w:rFonts w:hint="eastAsia" w:eastAsia="宋体"/>
                <w:sz w:val="21"/>
                <w:szCs w:val="21"/>
              </w:rPr>
              <w:t>负面清单扣分项</w:t>
            </w:r>
          </w:p>
        </w:tc>
        <w:tc>
          <w:tcPr>
            <w:tcW w:w="452"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1</w:t>
            </w:r>
          </w:p>
        </w:tc>
        <w:tc>
          <w:tcPr>
            <w:tcW w:w="6088" w:type="dxa"/>
            <w:tcBorders>
              <w:top w:val="double" w:color="auto" w:sz="4" w:space="0"/>
            </w:tcBorders>
            <w:vAlign w:val="center"/>
          </w:tcPr>
          <w:p>
            <w:pPr>
              <w:spacing w:line="300" w:lineRule="exact"/>
              <w:ind w:firstLine="0" w:firstLineChars="0"/>
              <w:rPr>
                <w:rFonts w:eastAsia="宋体"/>
                <w:sz w:val="21"/>
                <w:szCs w:val="21"/>
              </w:rPr>
            </w:pPr>
            <w:r>
              <w:rPr>
                <w:rFonts w:hint="eastAsia" w:eastAsia="宋体"/>
                <w:sz w:val="21"/>
                <w:szCs w:val="21"/>
              </w:rPr>
              <w:t>未建立、健全本单位安全生产责任制、安全生产规章制度和操作规程，且按相关职能部门规定操作。</w:t>
            </w:r>
          </w:p>
        </w:tc>
        <w:tc>
          <w:tcPr>
            <w:tcW w:w="771"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tcBorders>
              <w:top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2</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在生产经营过程中存在不符合食品安全标准的行为。</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3</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未建立健全并严格执行食品安全管理制度，未（忽视）对职工进行食品安全知识等培训。</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4</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不能积极配合监管部门日常监督检查。</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5</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未根据学校提出的合理要求改善服务质量。</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6</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未制定相关应急预案。</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7</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违规使用不符合法律法规或者食品安全标准的药品、食品、食品添加剂、食品相关产品。</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8</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提供蔬菜、水果以及按照国际惯例或者民族习惯需要提供的食品不符合食品安全要求。</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9</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餐食不符合合同规定验收标准的。</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pPr>
              <w:spacing w:line="360" w:lineRule="auto"/>
              <w:rPr>
                <w:rFonts w:eastAsia="宋体"/>
                <w:sz w:val="21"/>
                <w:szCs w:val="21"/>
              </w:rPr>
            </w:pPr>
          </w:p>
        </w:tc>
        <w:tc>
          <w:tcPr>
            <w:tcW w:w="452" w:type="dxa"/>
            <w:vAlign w:val="center"/>
          </w:tcPr>
          <w:p>
            <w:pPr>
              <w:spacing w:line="240" w:lineRule="auto"/>
              <w:ind w:firstLine="0" w:firstLineChars="0"/>
              <w:jc w:val="center"/>
              <w:rPr>
                <w:rFonts w:eastAsia="宋体"/>
                <w:sz w:val="21"/>
                <w:szCs w:val="21"/>
              </w:rPr>
            </w:pPr>
            <w:r>
              <w:rPr>
                <w:rFonts w:eastAsia="宋体"/>
                <w:sz w:val="21"/>
                <w:szCs w:val="21"/>
              </w:rPr>
              <w:t>10</w:t>
            </w:r>
          </w:p>
        </w:tc>
        <w:tc>
          <w:tcPr>
            <w:tcW w:w="6088" w:type="dxa"/>
            <w:vAlign w:val="center"/>
          </w:tcPr>
          <w:p>
            <w:pPr>
              <w:spacing w:line="300" w:lineRule="exact"/>
              <w:ind w:firstLine="0" w:firstLineChars="0"/>
              <w:rPr>
                <w:rFonts w:eastAsia="宋体"/>
                <w:sz w:val="21"/>
                <w:szCs w:val="21"/>
              </w:rPr>
            </w:pPr>
            <w:r>
              <w:rPr>
                <w:rFonts w:hint="eastAsia" w:eastAsia="宋体"/>
                <w:sz w:val="21"/>
                <w:szCs w:val="21"/>
              </w:rPr>
              <w:t>餐食供应存在漏发、漏送、迟到的。</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1</w:t>
            </w:r>
          </w:p>
        </w:tc>
        <w:tc>
          <w:tcPr>
            <w:tcW w:w="771"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2</w:t>
            </w:r>
          </w:p>
        </w:tc>
        <w:tc>
          <w:tcPr>
            <w:tcW w:w="773" w:type="dxa"/>
            <w:vAlign w:val="center"/>
          </w:tcPr>
          <w:p>
            <w:pPr>
              <w:spacing w:line="240" w:lineRule="auto"/>
              <w:ind w:firstLine="0" w:firstLineChars="0"/>
              <w:jc w:val="center"/>
              <w:rPr>
                <w:rFonts w:eastAsia="宋体"/>
                <w:sz w:val="21"/>
                <w:szCs w:val="21"/>
              </w:rPr>
            </w:pPr>
            <w:r>
              <w:rPr>
                <w:rFonts w:eastAsia="宋体"/>
                <w:sz w:val="21"/>
                <w:szCs w:val="21"/>
              </w:rPr>
              <w:t>-</w:t>
            </w:r>
            <w:r>
              <w:rPr>
                <w:rFonts w:hint="eastAsia" w:eastAsia="宋体"/>
                <w:sz w:val="21"/>
                <w:szCs w:val="21"/>
              </w:rPr>
              <w:t>3</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continue"/>
            <w:tcBorders>
              <w:bottom w:val="double" w:color="auto" w:sz="4" w:space="0"/>
            </w:tcBorders>
            <w:vAlign w:val="center"/>
          </w:tcPr>
          <w:p>
            <w:pPr>
              <w:spacing w:line="360" w:lineRule="auto"/>
              <w:rPr>
                <w:rFonts w:eastAsia="宋体"/>
                <w:sz w:val="21"/>
                <w:szCs w:val="21"/>
              </w:rPr>
            </w:pPr>
          </w:p>
        </w:tc>
        <w:tc>
          <w:tcPr>
            <w:tcW w:w="452" w:type="dxa"/>
            <w:tcBorders>
              <w:bottom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p>
        </w:tc>
        <w:tc>
          <w:tcPr>
            <w:tcW w:w="8403" w:type="dxa"/>
            <w:gridSpan w:val="4"/>
            <w:tcBorders>
              <w:bottom w:val="double" w:color="auto" w:sz="4" w:space="0"/>
            </w:tcBorders>
            <w:vAlign w:val="center"/>
          </w:tcPr>
          <w:p>
            <w:pPr>
              <w:spacing w:line="240" w:lineRule="auto"/>
              <w:ind w:firstLine="0" w:firstLineChars="0"/>
              <w:jc w:val="center"/>
              <w:rPr>
                <w:rFonts w:eastAsia="宋体"/>
                <w:sz w:val="21"/>
                <w:szCs w:val="21"/>
              </w:rPr>
            </w:pPr>
            <w:r>
              <w:rPr>
                <w:rFonts w:eastAsia="宋体"/>
                <w:sz w:val="21"/>
                <w:szCs w:val="21"/>
              </w:rPr>
              <w:t>……</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Merge w:val="restart"/>
            <w:tcBorders>
              <w:top w:val="double" w:color="auto" w:sz="4" w:space="0"/>
              <w:tl2br w:val="nil"/>
              <w:tr2bl w:val="nil"/>
            </w:tcBorders>
            <w:vAlign w:val="center"/>
          </w:tcPr>
          <w:p>
            <w:pPr>
              <w:spacing w:line="360" w:lineRule="auto"/>
              <w:ind w:firstLine="0" w:firstLineChars="0"/>
              <w:jc w:val="center"/>
              <w:rPr>
                <w:rFonts w:eastAsia="宋体"/>
                <w:sz w:val="21"/>
                <w:szCs w:val="21"/>
              </w:rPr>
            </w:pPr>
            <w:r>
              <w:rPr>
                <w:rFonts w:hint="eastAsia" w:eastAsia="宋体"/>
                <w:sz w:val="21"/>
                <w:szCs w:val="21"/>
              </w:rPr>
              <w:t>触发退出机制</w:t>
            </w:r>
          </w:p>
        </w:tc>
        <w:tc>
          <w:tcPr>
            <w:tcW w:w="452" w:type="dxa"/>
            <w:tcBorders>
              <w:top w:val="double" w:color="auto" w:sz="4" w:space="0"/>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w:t>
            </w:r>
          </w:p>
        </w:tc>
        <w:tc>
          <w:tcPr>
            <w:tcW w:w="8403" w:type="dxa"/>
            <w:gridSpan w:val="4"/>
            <w:tcBorders>
              <w:top w:val="double" w:color="auto" w:sz="4" w:space="0"/>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因供餐单位方面原因引起食品安全事故，造成严重后果。</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2</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在履行合同期间向采购人、学校人员有行贿行为或司法机关认定有犯罪行为。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3</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一年之内违反《食品安全法》行为被处以两次及以上责令改正、警告或较重罚款或责令停产停业的、吊销许可证或构成犯罪移送司法机关。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4</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存在拒绝、阻挠有关部门检查或暴力抗法行为。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5</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在服务过程中存在严重安全隐患或学校集中反映意见大的，经相关部门约谈、督促整改，不到位的。</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6</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将部分服务分包或转包给他人或其他单位。</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7</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在投标中存在串标、围标、恶意低价竞标、恶意哄抬价格等违纪违法行为。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8</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法定代表人被列入失信名单。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9</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伪造或故意破坏现场，存在转移、隐匿、伪造、销毁有关证据资料行为。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10</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未履行投标报价时的一切承诺。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11</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不能提供学校要求提供的食品安全等方面相关材料，且学校评价为不合格。</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12</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提供的相关信息、凭证、资料有造假情况。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13</w:t>
            </w:r>
          </w:p>
        </w:tc>
        <w:tc>
          <w:tcPr>
            <w:tcW w:w="8403" w:type="dxa"/>
            <w:gridSpan w:val="4"/>
            <w:tcBorders>
              <w:tl2br w:val="nil"/>
              <w:tr2bl w:val="nil"/>
            </w:tcBorders>
            <w:vAlign w:val="center"/>
          </w:tcPr>
          <w:p>
            <w:pPr>
              <w:spacing w:line="240" w:lineRule="auto"/>
              <w:ind w:firstLine="0" w:firstLineChars="0"/>
              <w:jc w:val="left"/>
              <w:rPr>
                <w:rFonts w:eastAsia="宋体"/>
                <w:sz w:val="21"/>
                <w:szCs w:val="21"/>
              </w:rPr>
            </w:pPr>
            <w:r>
              <w:rPr>
                <w:rFonts w:hint="eastAsia" w:eastAsia="宋体"/>
                <w:sz w:val="21"/>
                <w:szCs w:val="21"/>
              </w:rPr>
              <w:t>未建立并执行从业人员健康管理制度，存在患有国务院卫生行政部门规定的有碍食品安全疾病的人员从事接触直接入口食品的工作的情况。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669" w:type="dxa"/>
            <w:vMerge w:val="continue"/>
            <w:tcBorders>
              <w:tl2br w:val="nil"/>
              <w:tr2bl w:val="nil"/>
            </w:tcBorders>
            <w:vAlign w:val="center"/>
          </w:tcPr>
          <w:p>
            <w:pPr>
              <w:spacing w:line="360" w:lineRule="auto"/>
              <w:rPr>
                <w:rFonts w:eastAsia="宋体"/>
                <w:sz w:val="21"/>
                <w:szCs w:val="21"/>
              </w:rPr>
            </w:pPr>
          </w:p>
        </w:tc>
        <w:tc>
          <w:tcPr>
            <w:tcW w:w="452" w:type="dxa"/>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w:t>
            </w:r>
          </w:p>
        </w:tc>
        <w:tc>
          <w:tcPr>
            <w:tcW w:w="8403" w:type="dxa"/>
            <w:gridSpan w:val="4"/>
            <w:tcBorders>
              <w:tl2br w:val="nil"/>
              <w:tr2bl w:val="nil"/>
            </w:tcBorders>
            <w:vAlign w:val="center"/>
          </w:tcPr>
          <w:p>
            <w:pPr>
              <w:spacing w:line="240" w:lineRule="auto"/>
              <w:ind w:firstLine="0" w:firstLineChars="0"/>
              <w:jc w:val="center"/>
              <w:rPr>
                <w:rFonts w:eastAsia="宋体"/>
                <w:sz w:val="21"/>
                <w:szCs w:val="21"/>
              </w:rPr>
            </w:pPr>
            <w:r>
              <w:rPr>
                <w:rFonts w:eastAsia="宋体"/>
                <w:sz w:val="21"/>
                <w:szCs w:val="21"/>
              </w:rPr>
              <w:t>……</w:t>
            </w:r>
          </w:p>
        </w:tc>
      </w:tr>
    </w:tbl>
    <w:p>
      <w:pPr>
        <w:pStyle w:val="36"/>
        <w:spacing w:after="439"/>
        <w:rPr>
          <w:rFonts w:cs="Times New Roman"/>
        </w:rPr>
      </w:pPr>
    </w:p>
    <w:p>
      <w:pPr>
        <w:pStyle w:val="36"/>
        <w:spacing w:after="439"/>
        <w:rPr>
          <w:rFonts w:cs="Times New Roman"/>
        </w:rPr>
      </w:pPr>
      <w:r>
        <w:rPr>
          <w:rFonts w:hint="eastAsia" w:cs="Times New Roman"/>
        </w:rPr>
        <w:t>附件6</w:t>
      </w:r>
    </w:p>
    <w:p>
      <w:pPr>
        <w:ind w:firstLine="880"/>
        <w:jc w:val="center"/>
        <w:outlineLvl w:val="0"/>
        <w:rPr>
          <w:rFonts w:eastAsia="方正小标宋_GBK"/>
          <w:kern w:val="44"/>
          <w:sz w:val="44"/>
        </w:rPr>
      </w:pPr>
    </w:p>
    <w:p>
      <w:pPr>
        <w:ind w:firstLine="880"/>
        <w:jc w:val="center"/>
        <w:outlineLvl w:val="0"/>
        <w:rPr>
          <w:rFonts w:eastAsia="方正小标宋_GBK"/>
          <w:kern w:val="44"/>
          <w:sz w:val="44"/>
        </w:rPr>
      </w:pPr>
      <w:r>
        <w:rPr>
          <w:rFonts w:hint="eastAsia" w:eastAsia="方正小标宋_GBK"/>
          <w:kern w:val="44"/>
          <w:sz w:val="44"/>
        </w:rPr>
        <w:t>中小学食堂与校外供餐市场主体</w:t>
      </w:r>
    </w:p>
    <w:p>
      <w:pPr>
        <w:ind w:firstLine="880"/>
        <w:jc w:val="center"/>
        <w:outlineLvl w:val="0"/>
        <w:rPr>
          <w:rFonts w:eastAsia="方正小标宋_GBK"/>
          <w:kern w:val="44"/>
          <w:sz w:val="44"/>
        </w:rPr>
      </w:pPr>
      <w:r>
        <w:rPr>
          <w:rFonts w:hint="eastAsia" w:eastAsia="方正小标宋_GBK"/>
          <w:kern w:val="44"/>
          <w:sz w:val="44"/>
        </w:rPr>
        <w:t>反向评价工作导引</w:t>
      </w:r>
    </w:p>
    <w:p>
      <w:pPr>
        <w:spacing w:line="560" w:lineRule="atLeast"/>
        <w:ind w:firstLine="640"/>
      </w:pPr>
    </w:p>
    <w:p>
      <w:pPr>
        <w:spacing w:line="560" w:lineRule="atLeast"/>
        <w:ind w:firstLine="640"/>
      </w:pPr>
      <w:r>
        <w:rPr>
          <w:rFonts w:hint="eastAsia"/>
        </w:rPr>
        <w:t>为进一步规范全省中小学食堂运营和校外供餐管理，建立健全市场主体实施评价工作机制，规范县区招标工作组、各类监管部门以及学校在食堂运营各环节的工作行为，切实保障各类市场主体的合法权益，特制定本导引。</w:t>
      </w:r>
    </w:p>
    <w:p>
      <w:pPr>
        <w:spacing w:before="570" w:beforeLines="130" w:after="219" w:afterLines="50"/>
        <w:ind w:firstLine="640"/>
        <w:jc w:val="center"/>
        <w:outlineLvl w:val="0"/>
        <w:rPr>
          <w:rFonts w:eastAsia="黑体"/>
          <w:szCs w:val="32"/>
        </w:rPr>
      </w:pPr>
      <w:r>
        <w:rPr>
          <w:rFonts w:hint="eastAsia" w:eastAsia="黑体"/>
          <w:szCs w:val="32"/>
        </w:rPr>
        <w:t>第一章</w:t>
      </w:r>
      <w:r>
        <w:rPr>
          <w:rFonts w:eastAsia="黑体"/>
          <w:szCs w:val="32"/>
        </w:rPr>
        <w:t xml:space="preserve">  </w:t>
      </w:r>
      <w:r>
        <w:rPr>
          <w:rFonts w:hint="eastAsia" w:eastAsia="黑体"/>
          <w:szCs w:val="32"/>
        </w:rPr>
        <w:t>总则</w:t>
      </w:r>
    </w:p>
    <w:p>
      <w:pPr>
        <w:numPr>
          <w:ilvl w:val="0"/>
          <w:numId w:val="14"/>
        </w:numPr>
        <w:spacing w:line="560" w:lineRule="atLeast"/>
        <w:ind w:firstLine="640"/>
      </w:pPr>
      <w:r>
        <w:rPr>
          <w:rFonts w:hint="eastAsia"/>
        </w:rPr>
        <w:t>本导引所称市场主体，是指委托运营食堂的餐饮服务单位、校外供餐单位、食材供应商。</w:t>
      </w:r>
    </w:p>
    <w:p>
      <w:pPr>
        <w:numPr>
          <w:ilvl w:val="0"/>
          <w:numId w:val="14"/>
        </w:numPr>
        <w:spacing w:line="560" w:lineRule="atLeast"/>
        <w:ind w:firstLine="640"/>
      </w:pPr>
      <w:r>
        <w:rPr>
          <w:rFonts w:hint="eastAsia"/>
        </w:rPr>
        <w:t>本导引所称中小学食堂市场主体实施评价工作是指市场主体对中小学食材招标工作组、相关管理部门、学校及其相关工作人员</w:t>
      </w:r>
      <w:r>
        <w:rPr>
          <w:rFonts w:hint="eastAsia"/>
          <w:lang w:eastAsia="zh-CN"/>
        </w:rPr>
        <w:t>等</w:t>
      </w:r>
      <w:r>
        <w:rPr>
          <w:rFonts w:hint="eastAsia"/>
        </w:rPr>
        <w:t>在招标采购、履约服务、投诉反馈、廉政纪律等方面进行评价。</w:t>
      </w:r>
    </w:p>
    <w:p>
      <w:pPr>
        <w:numPr>
          <w:ilvl w:val="0"/>
          <w:numId w:val="14"/>
        </w:numPr>
        <w:spacing w:line="560" w:lineRule="atLeast"/>
        <w:ind w:firstLine="640"/>
      </w:pPr>
      <w:r>
        <w:rPr>
          <w:rFonts w:hint="eastAsia"/>
        </w:rPr>
        <w:t>中小学食堂市场主体实施评价工作必须遵循实事求是、公正客观和合法规范的原则。</w:t>
      </w:r>
    </w:p>
    <w:p>
      <w:pPr>
        <w:pStyle w:val="47"/>
        <w:adjustRightInd w:val="0"/>
        <w:spacing w:before="570" w:after="219" w:line="560" w:lineRule="atLeast"/>
        <w:ind w:left="960" w:leftChars="300" w:right="960" w:rightChars="300"/>
        <w:rPr>
          <w:rFonts w:cs="Times New Roman"/>
          <w:color w:val="auto"/>
          <w:szCs w:val="32"/>
        </w:rPr>
      </w:pPr>
      <w:r>
        <w:rPr>
          <w:rFonts w:hint="eastAsia" w:cs="Times New Roman"/>
          <w:color w:val="auto"/>
        </w:rPr>
        <w:t>第二章</w:t>
      </w:r>
      <w:r>
        <w:rPr>
          <w:rFonts w:cs="Times New Roman"/>
          <w:color w:val="auto"/>
        </w:rPr>
        <w:t xml:space="preserve">  </w:t>
      </w:r>
      <w:r>
        <w:rPr>
          <w:rFonts w:hint="eastAsia" w:cs="Times New Roman"/>
          <w:color w:val="auto"/>
        </w:rPr>
        <w:t>委托运营食堂的</w:t>
      </w:r>
      <w:r>
        <w:rPr>
          <w:rFonts w:hint="eastAsia" w:cs="Times New Roman"/>
          <w:color w:val="auto"/>
          <w:szCs w:val="32"/>
        </w:rPr>
        <w:t>餐饮服务单位发表评价</w:t>
      </w:r>
    </w:p>
    <w:p>
      <w:pPr>
        <w:numPr>
          <w:ilvl w:val="0"/>
          <w:numId w:val="14"/>
        </w:numPr>
        <w:spacing w:line="560" w:lineRule="atLeast"/>
        <w:ind w:firstLine="640"/>
        <w:jc w:val="left"/>
      </w:pPr>
      <w:r>
        <w:rPr>
          <w:rFonts w:hint="eastAsia"/>
        </w:rPr>
        <w:t>委托运营食堂实施评价对象为中小学食材招标工作组、相关管理部门</w:t>
      </w:r>
      <w:r>
        <w:rPr>
          <w:rFonts w:hint="eastAsia"/>
          <w:lang w:val="en-US" w:eastAsia="zh-CN"/>
        </w:rPr>
        <w:t>和学校及其相关工作人员等</w:t>
      </w:r>
      <w:r>
        <w:rPr>
          <w:rFonts w:hint="eastAsia"/>
        </w:rPr>
        <w:t>，评价内容为评价对象在食堂运营管理各环节履行职责情况、廉政纪律执行情况、投诉反馈情况等。</w:t>
      </w:r>
    </w:p>
    <w:p>
      <w:pPr>
        <w:numPr>
          <w:ilvl w:val="0"/>
          <w:numId w:val="15"/>
        </w:numPr>
        <w:spacing w:line="560" w:lineRule="atLeast"/>
        <w:ind w:firstLine="640"/>
      </w:pPr>
      <w:r>
        <w:rPr>
          <w:rFonts w:hint="eastAsia"/>
        </w:rPr>
        <w:t>评价中小学食材招标工作组主要内容包括招标过程的公开性、公平性、专业性，投诉反馈满意度，工作人员履职，招标工作组成员廉政纪律执行。</w:t>
      </w:r>
    </w:p>
    <w:p>
      <w:pPr>
        <w:numPr>
          <w:ilvl w:val="0"/>
          <w:numId w:val="15"/>
        </w:numPr>
        <w:spacing w:line="560" w:lineRule="atLeast"/>
        <w:ind w:firstLine="640"/>
      </w:pPr>
      <w:r>
        <w:rPr>
          <w:rFonts w:hint="eastAsia"/>
        </w:rPr>
        <w:t>评价相关管理部门主要内容包括监督管理过程的透明度、公平性、专业性，合理地培训与指导，投诉反馈满意度，管理部门相关工作人员廉政纪律执行。</w:t>
      </w:r>
    </w:p>
    <w:p>
      <w:pPr>
        <w:numPr>
          <w:ilvl w:val="0"/>
          <w:numId w:val="15"/>
        </w:numPr>
        <w:spacing w:line="560" w:lineRule="atLeast"/>
        <w:ind w:firstLine="640"/>
      </w:pPr>
      <w:r>
        <w:rPr>
          <w:rFonts w:hint="eastAsia"/>
        </w:rPr>
        <w:t>评价学校主要内容包括指导与管理、评价体系的公正合理、合理的设施设备支持、及时有效地沟通、学校相关人员的廉政纪律执行。</w:t>
      </w:r>
    </w:p>
    <w:p>
      <w:pPr>
        <w:pStyle w:val="47"/>
        <w:spacing w:before="570" w:after="219"/>
        <w:rPr>
          <w:rFonts w:cs="Times New Roman"/>
          <w:color w:val="auto"/>
        </w:rPr>
      </w:pPr>
      <w:r>
        <w:rPr>
          <w:rFonts w:hint="eastAsia" w:cs="Times New Roman"/>
          <w:color w:val="auto"/>
        </w:rPr>
        <w:t>第三章</w:t>
      </w:r>
      <w:r>
        <w:rPr>
          <w:rFonts w:cs="Times New Roman"/>
          <w:color w:val="auto"/>
        </w:rPr>
        <w:t xml:space="preserve">  </w:t>
      </w:r>
      <w:r>
        <w:rPr>
          <w:rFonts w:hint="eastAsia" w:cs="Times New Roman"/>
          <w:color w:val="auto"/>
        </w:rPr>
        <w:t>校外供餐单位发表评价</w:t>
      </w:r>
    </w:p>
    <w:p>
      <w:pPr>
        <w:numPr>
          <w:ilvl w:val="0"/>
          <w:numId w:val="14"/>
        </w:numPr>
        <w:spacing w:line="560" w:lineRule="atLeast"/>
        <w:ind w:firstLine="640"/>
        <w:jc w:val="left"/>
      </w:pPr>
      <w:r>
        <w:rPr>
          <w:rFonts w:hint="eastAsia"/>
        </w:rPr>
        <w:t>校外供餐单位实施评价对象为中小学食材招标工作组、相关管理部门</w:t>
      </w:r>
      <w:r>
        <w:rPr>
          <w:rFonts w:hint="eastAsia"/>
          <w:lang w:val="en-US" w:eastAsia="zh-CN"/>
        </w:rPr>
        <w:t>和学校及其相关工作人员等</w:t>
      </w:r>
      <w:r>
        <w:rPr>
          <w:rFonts w:hint="eastAsia"/>
        </w:rPr>
        <w:t>，评价内容为评价对象在校外供餐各环节履行职责情况、廉政纪律执行情况、投诉反馈情况等。</w:t>
      </w:r>
    </w:p>
    <w:p>
      <w:pPr>
        <w:spacing w:line="560" w:lineRule="atLeast"/>
        <w:ind w:firstLine="480" w:firstLineChars="150"/>
      </w:pPr>
      <w:r>
        <w:rPr>
          <w:rFonts w:hint="eastAsia"/>
        </w:rPr>
        <w:t>（一）评价中小学食材招标工作组主要内容包括招标过程的公开性、公平性、专业性，投诉反馈满意度，工作人员履职，招标工作组成员廉政纪律执行。</w:t>
      </w:r>
    </w:p>
    <w:p>
      <w:pPr>
        <w:spacing w:line="560" w:lineRule="atLeast"/>
        <w:ind w:firstLine="480" w:firstLineChars="150"/>
      </w:pPr>
      <w:r>
        <w:rPr>
          <w:rFonts w:hint="eastAsia"/>
        </w:rPr>
        <w:t>（二）评价相关管理部门主要内容包括监督管理过程的透明度、公平性、专业性，合理地培训与指导，投诉反馈满意度，管理部门相关工作人员廉政纪律执行。</w:t>
      </w:r>
    </w:p>
    <w:p>
      <w:pPr>
        <w:spacing w:line="560" w:lineRule="atLeast"/>
        <w:ind w:firstLine="480" w:firstLineChars="150"/>
      </w:pPr>
      <w:r>
        <w:rPr>
          <w:rFonts w:hint="eastAsia"/>
        </w:rPr>
        <w:t>（三）评价学校主要内容包括遴选过程的公开性、公平性，供餐验收小组成员的履职、供餐验收评价的公正合理、合理的设施设备支持、及时有效的沟通反馈、学校相关人员的廉政纪律执行。</w:t>
      </w:r>
    </w:p>
    <w:p>
      <w:pPr>
        <w:pStyle w:val="47"/>
        <w:spacing w:before="570" w:after="219"/>
        <w:rPr>
          <w:rFonts w:cs="Times New Roman"/>
          <w:color w:val="auto"/>
        </w:rPr>
      </w:pPr>
      <w:r>
        <w:rPr>
          <w:rFonts w:hint="eastAsia" w:cs="Times New Roman"/>
          <w:color w:val="auto"/>
        </w:rPr>
        <w:t>第四章</w:t>
      </w:r>
      <w:r>
        <w:rPr>
          <w:rFonts w:cs="Times New Roman"/>
          <w:color w:val="auto"/>
        </w:rPr>
        <w:t xml:space="preserve">  </w:t>
      </w:r>
      <w:r>
        <w:rPr>
          <w:rFonts w:hint="eastAsia" w:cs="Times New Roman"/>
          <w:color w:val="auto"/>
        </w:rPr>
        <w:t>食材供应商发表评价</w:t>
      </w:r>
    </w:p>
    <w:p>
      <w:pPr>
        <w:numPr>
          <w:ilvl w:val="0"/>
          <w:numId w:val="14"/>
        </w:numPr>
        <w:spacing w:line="560" w:lineRule="atLeast"/>
        <w:ind w:firstLine="640"/>
        <w:jc w:val="left"/>
      </w:pPr>
      <w:r>
        <w:rPr>
          <w:rFonts w:hint="eastAsia"/>
        </w:rPr>
        <w:t>食材供应商实施评价对象为中小学食材招标工作组、相关管理部门和学校及其相关管理工作人员</w:t>
      </w:r>
      <w:r>
        <w:rPr>
          <w:rFonts w:hint="eastAsia"/>
          <w:lang w:val="en-US" w:eastAsia="zh-CN"/>
        </w:rPr>
        <w:t>等</w:t>
      </w:r>
      <w:r>
        <w:rPr>
          <w:rFonts w:hint="eastAsia"/>
        </w:rPr>
        <w:t>，评价内容为评价对象在招标采购、供货服务等环节履行职责情况、廉政纪律执行情况、投诉反馈情况等。</w:t>
      </w:r>
    </w:p>
    <w:p>
      <w:pPr>
        <w:numPr>
          <w:ilvl w:val="0"/>
          <w:numId w:val="16"/>
        </w:numPr>
        <w:spacing w:line="560" w:lineRule="atLeast"/>
        <w:ind w:firstLine="480" w:firstLineChars="150"/>
      </w:pPr>
      <w:r>
        <w:rPr>
          <w:rFonts w:hint="eastAsia"/>
        </w:rPr>
        <w:t>评价中小学食材招标工作组主要内容包括招标过程的公开性、公平性、规范性，投诉反馈满意度，工作人员履职，招标工作组成员廉政纪律执行。</w:t>
      </w:r>
    </w:p>
    <w:p>
      <w:pPr>
        <w:spacing w:line="560" w:lineRule="atLeast"/>
        <w:ind w:firstLine="480" w:firstLineChars="150"/>
      </w:pPr>
      <w:r>
        <w:rPr>
          <w:rFonts w:hint="eastAsia"/>
        </w:rPr>
        <w:t>（二）评价相关管理部门主要内容包括监督管理过程的透明度、公平性、专业性，合理地培训与指导，投诉反馈满意度，管理部门相关工作人员廉政纪律执行。</w:t>
      </w:r>
    </w:p>
    <w:p>
      <w:pPr>
        <w:spacing w:line="560" w:lineRule="atLeast"/>
        <w:ind w:firstLine="480" w:firstLineChars="150"/>
      </w:pPr>
      <w:r>
        <w:rPr>
          <w:rFonts w:hint="eastAsia"/>
        </w:rPr>
        <w:t>（三）评价学校主要内容包括供货验收小组成员的履职尽责、供货验收评价的公正合理、及时有效地沟通反馈、学校相关人员的廉政纪律执行情况。</w:t>
      </w:r>
    </w:p>
    <w:p>
      <w:pPr>
        <w:numPr>
          <w:ilvl w:val="0"/>
          <w:numId w:val="14"/>
        </w:numPr>
        <w:spacing w:line="560" w:lineRule="atLeast"/>
        <w:ind w:firstLine="620"/>
        <w:jc w:val="left"/>
      </w:pPr>
      <w:r>
        <w:rPr>
          <w:rFonts w:hint="eastAsia"/>
          <w:sz w:val="31"/>
          <w:szCs w:val="31"/>
        </w:rPr>
        <w:t>“阳光食堂”平台向市场主体提供评价招标工作组、相关管理部门、</w:t>
      </w:r>
      <w:r>
        <w:rPr>
          <w:rFonts w:hint="eastAsia"/>
        </w:rPr>
        <w:t>学校及其相关工作人员</w:t>
      </w:r>
      <w:r>
        <w:rPr>
          <w:rFonts w:hint="eastAsia"/>
          <w:sz w:val="31"/>
          <w:szCs w:val="31"/>
        </w:rPr>
        <w:t>等的功能，教育部门要定期分析研究市场主体的评价、投诉、意见及建议，规范和加强学校食堂工作人员管理，对违规、失职、渎职人员进行严肃查处。</w:t>
      </w:r>
    </w:p>
    <w:p>
      <w:pPr>
        <w:numPr>
          <w:ilvl w:val="0"/>
          <w:numId w:val="14"/>
        </w:numPr>
        <w:spacing w:line="560" w:lineRule="atLeast"/>
        <w:ind w:firstLine="640"/>
        <w:jc w:val="left"/>
      </w:pPr>
      <w:r>
        <w:rPr>
          <w:rFonts w:hint="eastAsia"/>
        </w:rPr>
        <w:t>中小学食堂市场主体实施评价工作对推动学校食堂运营管理、廉政风险管控等具有积极作用，教育部门应视情予以奖励；中小学食堂市场主体实施评价工作如存在捏造事实、恶意投诉等情形，教育部门应视情予以从重扣减服务分值、情形严重的由中小学食材招标工作组核实后终止合同，并根据违规情形建立市场主体信用目录。</w:t>
      </w:r>
    </w:p>
    <w:p>
      <w:pPr>
        <w:spacing w:line="560" w:lineRule="atLeast"/>
        <w:ind w:left="640" w:leftChars="200" w:firstLine="0" w:firstLineChars="0"/>
        <w:jc w:val="left"/>
        <w:sectPr>
          <w:footerReference r:id="rId28" w:type="default"/>
          <w:pgSz w:w="11906" w:h="16838"/>
          <w:pgMar w:top="2098" w:right="1587" w:bottom="1984" w:left="1587" w:header="851" w:footer="992" w:gutter="0"/>
          <w:cols w:space="0" w:num="1"/>
          <w:docGrid w:type="lines" w:linePitch="439" w:charSpace="0"/>
        </w:sectPr>
      </w:pPr>
    </w:p>
    <w:p>
      <w:pPr>
        <w:spacing w:line="560" w:lineRule="atLeast"/>
        <w:ind w:firstLine="0" w:firstLineChars="0"/>
      </w:pPr>
      <w:r>
        <w:rPr>
          <w:rFonts w:hint="eastAsia"/>
        </w:rPr>
        <w:t>附表1</w:t>
      </w:r>
    </w:p>
    <w:p>
      <w:pPr>
        <w:pStyle w:val="39"/>
        <w:spacing w:before="526" w:after="351"/>
        <w:rPr>
          <w:rFonts w:hint="default"/>
          <w:color w:val="auto"/>
        </w:rPr>
      </w:pPr>
      <w:r>
        <w:rPr>
          <w:color w:val="auto"/>
        </w:rPr>
        <w:t>市场主体评价学校</w:t>
      </w:r>
    </w:p>
    <w:p>
      <w:pPr>
        <w:ind w:firstLine="640"/>
      </w:pPr>
    </w:p>
    <w:tbl>
      <w:tblPr>
        <w:tblStyle w:val="23"/>
        <w:tblW w:w="14520" w:type="dxa"/>
        <w:tblInd w:w="142" w:type="dxa"/>
        <w:tblLayout w:type="fixed"/>
        <w:tblCellMar>
          <w:top w:w="0" w:type="dxa"/>
          <w:left w:w="108" w:type="dxa"/>
          <w:bottom w:w="0" w:type="dxa"/>
          <w:right w:w="108" w:type="dxa"/>
        </w:tblCellMar>
      </w:tblPr>
      <w:tblGrid>
        <w:gridCol w:w="1230"/>
        <w:gridCol w:w="5925"/>
        <w:gridCol w:w="5936"/>
        <w:gridCol w:w="1429"/>
      </w:tblGrid>
      <w:tr>
        <w:tblPrEx>
          <w:tblCellMar>
            <w:top w:w="0" w:type="dxa"/>
            <w:left w:w="108" w:type="dxa"/>
            <w:bottom w:w="0" w:type="dxa"/>
            <w:right w:w="108" w:type="dxa"/>
          </w:tblCellMar>
        </w:tblPrEx>
        <w:trPr>
          <w:trHeight w:val="510" w:hRule="atLeast"/>
          <w:tblHeader/>
        </w:trPr>
        <w:tc>
          <w:tcPr>
            <w:tcW w:w="123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市场主体</w:t>
            </w:r>
          </w:p>
        </w:tc>
        <w:tc>
          <w:tcPr>
            <w:tcW w:w="5925"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评价、投诉事项</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评价、投诉详细内容</w:t>
            </w:r>
            <w:r>
              <w:rPr>
                <w:rFonts w:eastAsia="宋体"/>
                <w:b/>
                <w:bCs/>
                <w:kern w:val="0"/>
                <w:sz w:val="20"/>
                <w:szCs w:val="20"/>
                <w:lang w:bidi="ar"/>
              </w:rPr>
              <w:t xml:space="preserve">   </w:t>
            </w:r>
            <w:r>
              <w:rPr>
                <w:rFonts w:hint="eastAsia" w:eastAsia="宋体"/>
                <w:b/>
                <w:bCs/>
                <w:kern w:val="0"/>
                <w:sz w:val="20"/>
                <w:szCs w:val="20"/>
                <w:lang w:bidi="ar"/>
              </w:rPr>
              <w:t>（市场主体填写）</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佐证材料</w:t>
            </w:r>
          </w:p>
        </w:tc>
      </w:tr>
      <w:tr>
        <w:tblPrEx>
          <w:tblCellMar>
            <w:top w:w="0" w:type="dxa"/>
            <w:left w:w="108" w:type="dxa"/>
            <w:bottom w:w="0" w:type="dxa"/>
            <w:right w:w="108" w:type="dxa"/>
          </w:tblCellMar>
        </w:tblPrEx>
        <w:trPr>
          <w:trHeight w:val="510"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sz w:val="20"/>
                <w:szCs w:val="20"/>
              </w:rPr>
            </w:pPr>
            <w:r>
              <w:rPr>
                <w:rFonts w:hint="eastAsia" w:eastAsia="宋体"/>
                <w:kern w:val="0"/>
                <w:sz w:val="20"/>
                <w:szCs w:val="20"/>
                <w:lang w:bidi="ar"/>
              </w:rPr>
              <w:t>食材供应商</w:t>
            </w: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不按合同约定，验收因人而异，擅自提高、降低验收标准</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食材验收违反常规流程，故意拖延时间</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食材验收组成员专业性不强</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食材验收组成员供货评价不客观公正，存在因人而异、徇私舞弊</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因食材加工问题，导致其他主体对供应商评价不客观</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学校或相关人员胁迫供应商提供配合，套取资金</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学校擅自要求供应商承担合同约定之外的费用</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学校不按合同约定时间、金额支付货款</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学校管理人员、供货验收组成员、食堂工作人员等存在索贿行为</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学校相关人员要求供应商提供宴请、旅游、健身、娱乐等活动安排</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学校未按规定要求对供应商意见建议、质疑投诉进行处理</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eastAsia="宋体"/>
                <w:kern w:val="0"/>
                <w:sz w:val="20"/>
                <w:szCs w:val="20"/>
                <w:lang w:bidi="ar"/>
              </w:rPr>
            </w:pPr>
          </w:p>
          <w:p>
            <w:pPr>
              <w:spacing w:line="240" w:lineRule="auto"/>
              <w:ind w:firstLine="0" w:firstLineChars="0"/>
              <w:jc w:val="center"/>
              <w:textAlignment w:val="center"/>
              <w:rPr>
                <w:rFonts w:eastAsia="宋体"/>
                <w:kern w:val="0"/>
                <w:sz w:val="20"/>
                <w:szCs w:val="20"/>
                <w:lang w:bidi="ar"/>
              </w:rPr>
            </w:pPr>
          </w:p>
          <w:p>
            <w:pPr>
              <w:spacing w:line="240" w:lineRule="auto"/>
              <w:ind w:firstLine="0" w:firstLineChars="0"/>
              <w:jc w:val="center"/>
              <w:textAlignment w:val="center"/>
              <w:rPr>
                <w:rFonts w:eastAsia="宋体"/>
                <w:kern w:val="0"/>
                <w:sz w:val="20"/>
                <w:szCs w:val="20"/>
                <w:lang w:bidi="ar"/>
              </w:rPr>
            </w:pPr>
          </w:p>
          <w:p>
            <w:pPr>
              <w:spacing w:line="240" w:lineRule="auto"/>
              <w:ind w:firstLine="0" w:firstLineChars="0"/>
              <w:jc w:val="center"/>
              <w:textAlignment w:val="center"/>
              <w:rPr>
                <w:rFonts w:eastAsia="宋体"/>
                <w:kern w:val="0"/>
                <w:sz w:val="20"/>
                <w:szCs w:val="20"/>
                <w:lang w:bidi="ar"/>
              </w:rPr>
            </w:pPr>
          </w:p>
          <w:p>
            <w:pPr>
              <w:spacing w:line="240" w:lineRule="auto"/>
              <w:ind w:firstLine="0" w:firstLineChars="0"/>
              <w:jc w:val="center"/>
              <w:textAlignment w:val="center"/>
              <w:rPr>
                <w:rFonts w:eastAsia="宋体"/>
                <w:kern w:val="0"/>
                <w:sz w:val="20"/>
                <w:szCs w:val="20"/>
                <w:lang w:bidi="ar"/>
              </w:rPr>
            </w:pPr>
            <w:r>
              <w:rPr>
                <w:rFonts w:hint="eastAsia" w:eastAsia="宋体"/>
                <w:kern w:val="0"/>
                <w:sz w:val="20"/>
                <w:szCs w:val="20"/>
                <w:lang w:bidi="ar"/>
              </w:rPr>
              <w:t xml:space="preserve">运营服务商  </w:t>
            </w:r>
          </w:p>
          <w:p>
            <w:pPr>
              <w:spacing w:line="240" w:lineRule="auto"/>
              <w:ind w:firstLine="0" w:firstLineChars="0"/>
              <w:jc w:val="center"/>
              <w:textAlignment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学校对服务商食品安全管理评价不客观公正</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学校对服务商生产安全管理评价不客观公正</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学校对服务商食堂运营管理其他环节评价不客观公正</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学校擅自要求服务商承担合同约定之外的费用</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学校不按合同约定时间、金额支付服务费用</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学校管理人员等存在索贿行为</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学校相关人员要求服务商提供宴请、旅游、健身、娱乐等活动安排</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学校未按规定要求对服务商意见建议、质疑投诉进行处理</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kern w:val="0"/>
                <w:sz w:val="20"/>
                <w:szCs w:val="20"/>
                <w:lang w:bidi="ar"/>
              </w:rPr>
            </w:pPr>
            <w:r>
              <w:rPr>
                <w:rFonts w:hint="eastAsia" w:eastAsia="宋体"/>
                <w:kern w:val="0"/>
                <w:sz w:val="20"/>
                <w:szCs w:val="20"/>
                <w:lang w:bidi="ar"/>
              </w:rPr>
              <w:t>校外供餐</w:t>
            </w:r>
          </w:p>
          <w:p>
            <w:pPr>
              <w:spacing w:line="240" w:lineRule="auto"/>
              <w:ind w:firstLine="0" w:firstLineChars="0"/>
              <w:jc w:val="center"/>
              <w:textAlignment w:val="center"/>
              <w:rPr>
                <w:rFonts w:eastAsia="宋体"/>
                <w:sz w:val="20"/>
                <w:szCs w:val="20"/>
              </w:rPr>
            </w:pPr>
            <w:r>
              <w:rPr>
                <w:rFonts w:hint="eastAsia" w:eastAsia="宋体"/>
                <w:kern w:val="0"/>
                <w:sz w:val="20"/>
                <w:szCs w:val="20"/>
                <w:lang w:bidi="ar"/>
              </w:rPr>
              <w:t>单位</w:t>
            </w: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学校膳食家长委员会、食堂管理人员在服务商遴选中存在违纪违规行为</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供货验收组成员供货评价不客观公正</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学校擅自要求供应商承担合同约定之外的劳务或费用</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学校不按合同约定时间、金额支付服务费用</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学校管理人员等存在索贿行为</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学校相关人员要求供应商提供宴请、旅游、健身、娱乐等活动安排</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510" w:hRule="atLeast"/>
        </w:trPr>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学校未按规定要求对服务商意见建议、质疑投诉进行处理</w:t>
            </w:r>
          </w:p>
        </w:tc>
        <w:tc>
          <w:tcPr>
            <w:tcW w:w="5936"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bl>
    <w:p>
      <w:pPr>
        <w:ind w:firstLine="640"/>
      </w:pPr>
      <w:r>
        <w:br w:type="page"/>
      </w:r>
    </w:p>
    <w:p>
      <w:pPr>
        <w:spacing w:line="560" w:lineRule="atLeast"/>
        <w:ind w:firstLine="0" w:firstLineChars="0"/>
      </w:pPr>
      <w:r>
        <w:rPr>
          <w:rFonts w:hint="eastAsia"/>
        </w:rPr>
        <w:t>附表2</w:t>
      </w:r>
    </w:p>
    <w:p>
      <w:pPr>
        <w:pStyle w:val="39"/>
        <w:spacing w:before="526" w:after="351"/>
        <w:rPr>
          <w:rFonts w:hint="default"/>
          <w:color w:val="auto"/>
        </w:rPr>
      </w:pPr>
      <w:r>
        <w:rPr>
          <w:color w:val="auto"/>
        </w:rPr>
        <w:t>市场主体评价</w:t>
      </w:r>
      <w:r>
        <w:rPr>
          <w:rFonts w:hint="eastAsia"/>
          <w:color w:val="auto"/>
          <w:lang w:val="en-US" w:eastAsia="zh-CN"/>
        </w:rPr>
        <w:t>相关管理</w:t>
      </w:r>
      <w:r>
        <w:rPr>
          <w:color w:val="auto"/>
        </w:rPr>
        <w:t>部门</w:t>
      </w:r>
    </w:p>
    <w:p>
      <w:pPr>
        <w:ind w:firstLine="640"/>
      </w:pPr>
    </w:p>
    <w:tbl>
      <w:tblPr>
        <w:tblStyle w:val="23"/>
        <w:tblW w:w="14520" w:type="dxa"/>
        <w:tblInd w:w="142" w:type="dxa"/>
        <w:tblLayout w:type="fixed"/>
        <w:tblCellMar>
          <w:top w:w="0" w:type="dxa"/>
          <w:left w:w="108" w:type="dxa"/>
          <w:bottom w:w="0" w:type="dxa"/>
          <w:right w:w="108" w:type="dxa"/>
        </w:tblCellMar>
      </w:tblPr>
      <w:tblGrid>
        <w:gridCol w:w="1230"/>
        <w:gridCol w:w="5925"/>
        <w:gridCol w:w="5936"/>
        <w:gridCol w:w="1429"/>
      </w:tblGrid>
      <w:tr>
        <w:tblPrEx>
          <w:tblCellMar>
            <w:top w:w="0" w:type="dxa"/>
            <w:left w:w="108" w:type="dxa"/>
            <w:bottom w:w="0" w:type="dxa"/>
            <w:right w:w="108" w:type="dxa"/>
          </w:tblCellMar>
        </w:tblPrEx>
        <w:trPr>
          <w:trHeight w:val="624" w:hRule="atLeast"/>
          <w:tblHeader/>
        </w:trPr>
        <w:tc>
          <w:tcPr>
            <w:tcW w:w="123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市场主体</w:t>
            </w: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评价、投诉事项</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textAlignment w:val="center"/>
              <w:rPr>
                <w:rFonts w:eastAsia="宋体"/>
                <w:b/>
                <w:bCs/>
                <w:sz w:val="20"/>
                <w:szCs w:val="20"/>
              </w:rPr>
            </w:pPr>
            <w:r>
              <w:rPr>
                <w:rFonts w:hint="eastAsia" w:eastAsia="宋体"/>
                <w:b/>
                <w:bCs/>
                <w:kern w:val="0"/>
                <w:sz w:val="20"/>
                <w:szCs w:val="20"/>
                <w:lang w:bidi="ar"/>
              </w:rPr>
              <w:t>评价、投诉详细内容（市场主体填写）</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佐证材料</w:t>
            </w:r>
          </w:p>
        </w:tc>
      </w:tr>
      <w:tr>
        <w:tblPrEx>
          <w:tblCellMar>
            <w:top w:w="0" w:type="dxa"/>
            <w:left w:w="108" w:type="dxa"/>
            <w:bottom w:w="0" w:type="dxa"/>
            <w:right w:w="108" w:type="dxa"/>
          </w:tblCellMar>
        </w:tblPrEx>
        <w:trPr>
          <w:trHeight w:val="624" w:hRule="atLeast"/>
        </w:trPr>
        <w:tc>
          <w:tcPr>
            <w:tcW w:w="123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textAlignment w:val="center"/>
              <w:rPr>
                <w:rFonts w:eastAsia="宋体"/>
                <w:sz w:val="20"/>
                <w:szCs w:val="20"/>
              </w:rPr>
            </w:pPr>
            <w:r>
              <w:rPr>
                <w:rFonts w:hint="eastAsia" w:eastAsia="宋体"/>
                <w:kern w:val="0"/>
                <w:sz w:val="20"/>
                <w:szCs w:val="20"/>
                <w:lang w:bidi="ar"/>
              </w:rPr>
              <w:t>食材供应商委托运营商校外供餐单位</w:t>
            </w: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教育、市场监管、卫健等部门指导培训专业性不强</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教育、市场监管、卫健等部门工作人员等服务态度存在生冷硬推的情形</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教育、市场监管、卫健等部门评价不客观公正，存在因人而异、徇私舞弊</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教育、市场监管、卫健等部门工作人员等存在索贿行为</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33"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教育、市场监管、卫健等部门相关人员要求供应商提供宴请、旅游、健身、娱乐等活动安排</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2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92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教育、市场监管、卫健等部门未按规定要求对供应商意见建议、质疑投诉进行处理</w:t>
            </w:r>
          </w:p>
        </w:tc>
        <w:tc>
          <w:tcPr>
            <w:tcW w:w="593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bl>
    <w:p>
      <w:pPr>
        <w:ind w:firstLine="640"/>
      </w:pPr>
    </w:p>
    <w:p>
      <w:pPr>
        <w:ind w:firstLine="640"/>
      </w:pPr>
      <w:r>
        <w:br w:type="page"/>
      </w:r>
    </w:p>
    <w:p>
      <w:pPr>
        <w:spacing w:line="560" w:lineRule="atLeast"/>
        <w:ind w:firstLine="0" w:firstLineChars="0"/>
      </w:pPr>
      <w:r>
        <w:rPr>
          <w:rFonts w:hint="eastAsia"/>
        </w:rPr>
        <w:t>附表3</w:t>
      </w:r>
    </w:p>
    <w:p>
      <w:pPr>
        <w:pStyle w:val="47"/>
        <w:spacing w:before="570" w:after="219"/>
        <w:rPr>
          <w:rFonts w:cs="Times New Roman"/>
          <w:color w:val="auto"/>
        </w:rPr>
      </w:pPr>
      <w:r>
        <w:rPr>
          <w:rFonts w:hint="eastAsia" w:cs="Times New Roman"/>
          <w:color w:val="auto"/>
        </w:rPr>
        <w:t>市场主体评价招标工作组</w:t>
      </w:r>
    </w:p>
    <w:p>
      <w:pPr>
        <w:ind w:firstLine="640"/>
      </w:pPr>
    </w:p>
    <w:tbl>
      <w:tblPr>
        <w:tblStyle w:val="23"/>
        <w:tblW w:w="14520" w:type="dxa"/>
        <w:tblInd w:w="142" w:type="dxa"/>
        <w:tblLayout w:type="fixed"/>
        <w:tblCellMar>
          <w:top w:w="0" w:type="dxa"/>
          <w:left w:w="108" w:type="dxa"/>
          <w:bottom w:w="0" w:type="dxa"/>
          <w:right w:w="108" w:type="dxa"/>
        </w:tblCellMar>
      </w:tblPr>
      <w:tblGrid>
        <w:gridCol w:w="1367"/>
        <w:gridCol w:w="5550"/>
        <w:gridCol w:w="6174"/>
        <w:gridCol w:w="1429"/>
      </w:tblGrid>
      <w:tr>
        <w:tblPrEx>
          <w:tblCellMar>
            <w:top w:w="0" w:type="dxa"/>
            <w:left w:w="108" w:type="dxa"/>
            <w:bottom w:w="0" w:type="dxa"/>
            <w:right w:w="108" w:type="dxa"/>
          </w:tblCellMar>
        </w:tblPrEx>
        <w:trPr>
          <w:trHeight w:val="624" w:hRule="atLeast"/>
        </w:trPr>
        <w:tc>
          <w:tcPr>
            <w:tcW w:w="1367"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市场主体</w:t>
            </w:r>
          </w:p>
        </w:tc>
        <w:tc>
          <w:tcPr>
            <w:tcW w:w="555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评价、投诉事项</w:t>
            </w:r>
          </w:p>
        </w:tc>
        <w:tc>
          <w:tcPr>
            <w:tcW w:w="61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评价、投诉详细内容（市场主体填写）</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textAlignment w:val="center"/>
              <w:rPr>
                <w:rFonts w:eastAsia="宋体"/>
                <w:b/>
                <w:bCs/>
                <w:sz w:val="20"/>
                <w:szCs w:val="20"/>
              </w:rPr>
            </w:pPr>
            <w:r>
              <w:rPr>
                <w:rFonts w:hint="eastAsia" w:eastAsia="宋体"/>
                <w:b/>
                <w:bCs/>
                <w:kern w:val="0"/>
                <w:sz w:val="20"/>
                <w:szCs w:val="20"/>
                <w:lang w:bidi="ar"/>
              </w:rPr>
              <w:t>佐证材料</w:t>
            </w:r>
          </w:p>
        </w:tc>
      </w:tr>
      <w:tr>
        <w:tblPrEx>
          <w:tblCellMar>
            <w:top w:w="0" w:type="dxa"/>
            <w:left w:w="108" w:type="dxa"/>
            <w:bottom w:w="0" w:type="dxa"/>
            <w:right w:w="108" w:type="dxa"/>
          </w:tblCellMar>
        </w:tblPrEx>
        <w:trPr>
          <w:trHeight w:val="624" w:hRule="atLeast"/>
        </w:trPr>
        <w:tc>
          <w:tcPr>
            <w:tcW w:w="1367"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textAlignment w:val="center"/>
              <w:rPr>
                <w:rFonts w:eastAsia="宋体"/>
                <w:sz w:val="20"/>
                <w:szCs w:val="20"/>
              </w:rPr>
            </w:pPr>
            <w:r>
              <w:rPr>
                <w:rFonts w:hint="eastAsia" w:eastAsia="宋体"/>
                <w:kern w:val="0"/>
                <w:sz w:val="20"/>
                <w:szCs w:val="20"/>
                <w:lang w:bidi="ar"/>
              </w:rPr>
              <w:t>食材供应商委托运营商校外供餐单位</w:t>
            </w:r>
          </w:p>
        </w:tc>
        <w:tc>
          <w:tcPr>
            <w:tcW w:w="5550"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招标文件和中标结果未在规定的媒体发布与公示</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资格审查及评标委员会专家与潜在投标人存在经济利益关系</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资格审查及评标委员会专家与供应商法定代表人存在夫妻、直系血亲、三代以内旁系血亲、近姻亲关系</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jc w:val="center"/>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招标过程未按规定要求进行家长群众监督</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招标工作组、招标实施机构工作人员服务态度存在生冷硬推的情形</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资格审查工作组工作人员现场考察评价不客观公正，存在因人而异、徇私舞弊</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招标工作组工作人员等存在索贿行为</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招标工作组相关人员要求供应商提供宴请、旅游、健身、娱乐等活动安排</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r>
        <w:tblPrEx>
          <w:tblCellMar>
            <w:top w:w="0" w:type="dxa"/>
            <w:left w:w="108" w:type="dxa"/>
            <w:bottom w:w="0" w:type="dxa"/>
            <w:right w:w="108" w:type="dxa"/>
          </w:tblCellMar>
        </w:tblPrEx>
        <w:trPr>
          <w:trHeight w:val="624" w:hRule="atLeast"/>
        </w:trPr>
        <w:tc>
          <w:tcPr>
            <w:tcW w:w="1367"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eastAsia="宋体"/>
                <w:sz w:val="20"/>
                <w:szCs w:val="20"/>
              </w:rPr>
            </w:pPr>
          </w:p>
        </w:tc>
        <w:tc>
          <w:tcPr>
            <w:tcW w:w="555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textAlignment w:val="center"/>
              <w:rPr>
                <w:rFonts w:eastAsia="宋体"/>
                <w:sz w:val="20"/>
                <w:szCs w:val="20"/>
              </w:rPr>
            </w:pPr>
            <w:r>
              <w:rPr>
                <w:rFonts w:hint="eastAsia" w:eastAsia="宋体"/>
                <w:kern w:val="0"/>
                <w:sz w:val="20"/>
                <w:szCs w:val="20"/>
                <w:lang w:bidi="ar"/>
              </w:rPr>
              <w:t>招标工作组未按规定要求对供应商意见建议、质疑投诉进行处理</w:t>
            </w:r>
          </w:p>
        </w:tc>
        <w:tc>
          <w:tcPr>
            <w:tcW w:w="6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0" w:firstLineChars="0"/>
              <w:rPr>
                <w:rFonts w:eastAsia="宋体"/>
                <w:sz w:val="20"/>
                <w:szCs w:val="20"/>
              </w:rPr>
            </w:pPr>
          </w:p>
        </w:tc>
      </w:tr>
    </w:tbl>
    <w:p>
      <w:pPr>
        <w:ind w:firstLine="640"/>
      </w:pPr>
    </w:p>
    <w:sectPr>
      <w:footerReference r:id="rId29" w:type="default"/>
      <w:pgSz w:w="16838" w:h="11906" w:orient="landscape"/>
      <w:pgMar w:top="1134" w:right="1134" w:bottom="1134" w:left="1134" w:header="851" w:footer="992" w:gutter="0"/>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ndara">
    <w:altName w:val="Noto Music"/>
    <w:panose1 w:val="020E0502030303020204"/>
    <w:charset w:val="00"/>
    <w:family w:val="swiss"/>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center"/>
      <w:rPr>
        <w:rFonts w:eastAsia="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89</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IkRNFQ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dX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9IkRNFQIAABsEAAAOAAAAAAAAAAEAIAAAADUBAABkcnMvZTJvRG9jLnhtbFBLBQYAAAAABgAG&#10;AFkBAAC8BQ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89</w:t>
                    </w:r>
                    <w:r>
                      <w:fldChar w:fldCharType="end"/>
                    </w:r>
                    <w:r>
                      <w:t xml:space="preserve"> —</w:t>
                    </w:r>
                  </w:p>
                </w:txbxContent>
              </v:textbox>
            </v:shape>
          </w:pict>
        </mc:Fallback>
      </mc:AlternateContent>
    </w:r>
  </w:p>
  <w:p>
    <w:pPr>
      <w:tabs>
        <w:tab w:val="center" w:pos="4153"/>
        <w:tab w:val="right" w:pos="8306"/>
      </w:tabs>
      <w:ind w:firstLine="360"/>
      <w:jc w:val="left"/>
      <w:rPr>
        <w:rFonts w:eastAsia="宋体"/>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left"/>
      <w:rPr>
        <w:rFonts w:eastAsia="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90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90</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left"/>
      <w:rPr>
        <w:rFonts w:eastAsia="宋体"/>
        <w:sz w:val="18"/>
        <w:szCs w:val="18"/>
      </w:rPr>
    </w:pPr>
    <w:r>
      <w:rPr>
        <w:rFonts w:eastAsia="宋体"/>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firstLine="560"/>
                            <w:jc w:val="left"/>
                            <w:rPr>
                              <w:rFonts w:ascii="宋体" w:hAnsi="宋体" w:eastAsia="宋体"/>
                              <w:sz w:val="28"/>
                              <w:szCs w:val="18"/>
                            </w:rPr>
                          </w:pP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109</w:t>
                          </w:r>
                          <w:r>
                            <w:rPr>
                              <w:rFonts w:ascii="宋体" w:hAnsi="宋体" w:eastAsia="宋体"/>
                              <w:sz w:val="28"/>
                              <w:szCs w:val="18"/>
                            </w:rPr>
                            <w:fldChar w:fldCharType="end"/>
                          </w:r>
                          <w:r>
                            <w:rPr>
                              <w:rFonts w:ascii="宋体" w:hAnsi="宋体" w:eastAsia="宋体"/>
                              <w:sz w:val="28"/>
                              <w:szCs w:val="1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Z88zAhwCAAAnBAAADgAAAAAAAAABACAAAAA1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ind w:firstLine="560"/>
                      <w:jc w:val="left"/>
                      <w:rPr>
                        <w:rFonts w:ascii="宋体" w:hAnsi="宋体" w:eastAsia="宋体"/>
                        <w:sz w:val="28"/>
                        <w:szCs w:val="18"/>
                      </w:rPr>
                    </w:pPr>
                    <w:r>
                      <w:rPr>
                        <w:rFonts w:ascii="宋体" w:hAnsi="宋体" w:eastAsia="宋体"/>
                        <w:sz w:val="28"/>
                        <w:szCs w:val="18"/>
                      </w:rPr>
                      <w:t xml:space="preserve">— </w:t>
                    </w:r>
                    <w:r>
                      <w:rPr>
                        <w:rFonts w:ascii="宋体" w:hAnsi="宋体" w:eastAsia="宋体"/>
                        <w:sz w:val="28"/>
                        <w:szCs w:val="18"/>
                      </w:rPr>
                      <w:fldChar w:fldCharType="begin"/>
                    </w:r>
                    <w:r>
                      <w:rPr>
                        <w:rFonts w:ascii="宋体" w:hAnsi="宋体" w:eastAsia="宋体"/>
                        <w:sz w:val="28"/>
                        <w:szCs w:val="18"/>
                      </w:rPr>
                      <w:instrText xml:space="preserve"> PAGE  \* MERGEFORMAT </w:instrText>
                    </w:r>
                    <w:r>
                      <w:rPr>
                        <w:rFonts w:ascii="宋体" w:hAnsi="宋体" w:eastAsia="宋体"/>
                        <w:sz w:val="28"/>
                        <w:szCs w:val="18"/>
                      </w:rPr>
                      <w:fldChar w:fldCharType="separate"/>
                    </w:r>
                    <w:r>
                      <w:rPr>
                        <w:rFonts w:ascii="宋体" w:hAnsi="宋体" w:eastAsia="宋体"/>
                        <w:sz w:val="28"/>
                        <w:szCs w:val="18"/>
                      </w:rPr>
                      <w:t>109</w:t>
                    </w:r>
                    <w:r>
                      <w:rPr>
                        <w:rFonts w:ascii="宋体" w:hAnsi="宋体" w:eastAsia="宋体"/>
                        <w:sz w:val="28"/>
                        <w:szCs w:val="18"/>
                      </w:rPr>
                      <w:fldChar w:fldCharType="end"/>
                    </w:r>
                    <w:r>
                      <w:rPr>
                        <w:rFonts w:ascii="宋体" w:hAnsi="宋体" w:eastAsia="宋体"/>
                        <w:sz w:val="28"/>
                        <w:szCs w:val="1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181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181</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199</w:t>
                          </w:r>
                          <w:r>
                            <w:rPr>
                              <w:rFonts w:eastAsiaTheme="minorEastAsia"/>
                            </w:rPr>
                            <w:fldChar w:fldCharType="end"/>
                          </w:r>
                          <w:r>
                            <w:rPr>
                              <w:rFonts w:eastAsiaTheme="minorEastAsia"/>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E6rNFA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0Tqs0UAgAAGwQAAA4AAAAAAAAAAQAgAAAANQEAAGRycy9lMm9Eb2MueG1sUEsFBgAAAAAGAAYA&#10;WQEAALsFAAAAAA==&#10;">
              <v:fill on="f" focussize="0,0"/>
              <v:stroke on="f" weight="0.5pt"/>
              <v:imagedata o:title=""/>
              <o:lock v:ext="edit" aspectratio="f"/>
              <v:textbox inset="0mm,0mm,0mm,0mm" style="mso-fit-shape-to-text:t;">
                <w:txbxContent>
                  <w:p>
                    <w:pPr>
                      <w:pStyle w:val="16"/>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199</w:t>
                    </w:r>
                    <w:r>
                      <w:rPr>
                        <w:rFonts w:eastAsiaTheme="minorEastAsia"/>
                      </w:rPr>
                      <w:fldChar w:fldCharType="end"/>
                    </w:r>
                    <w:r>
                      <w:rPr>
                        <w:rFonts w:eastAsiaTheme="minorEastAsia"/>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480"/>
                          </w:pPr>
                          <w:r>
                            <w:t xml:space="preserve">— </w:t>
                          </w:r>
                          <w:r>
                            <w:fldChar w:fldCharType="begin"/>
                          </w:r>
                          <w:r>
                            <w:instrText xml:space="preserve"> PAGE  \* MERGEFORMAT </w:instrText>
                          </w:r>
                          <w:r>
                            <w:fldChar w:fldCharType="separate"/>
                          </w:r>
                          <w:r>
                            <w:t>203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6"/>
                      <w:ind w:firstLine="480"/>
                    </w:pPr>
                    <w:r>
                      <w:t xml:space="preserve">— </w:t>
                    </w:r>
                    <w:r>
                      <w:fldChar w:fldCharType="begin"/>
                    </w:r>
                    <w:r>
                      <w:instrText xml:space="preserve"> PAGE  \* MERGEFORMAT </w:instrText>
                    </w:r>
                    <w:r>
                      <w:fldChar w:fldCharType="separate"/>
                    </w:r>
                    <w:r>
                      <w:t>203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 </w:t>
                          </w:r>
                          <w:r>
                            <w:fldChar w:fldCharType="begin"/>
                          </w:r>
                          <w:r>
                            <w:instrText xml:space="preserve"> PAGE  \* MERGEFORMAT </w:instrText>
                          </w:r>
                          <w:r>
                            <w:fldChar w:fldCharType="separate"/>
                          </w:r>
                          <w:r>
                            <w:t>35</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16"/>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w:t>
                          </w:r>
                          <w:r>
                            <w:rPr>
                              <w:rFonts w:hint="eastAsia"/>
                            </w:rPr>
                            <w:t xml:space="preserve"> </w:t>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16"/>
                    </w:pPr>
                    <w:r>
                      <w:t>—</w:t>
                    </w:r>
                    <w:r>
                      <w:rPr>
                        <w:rFonts w:hint="eastAsia"/>
                      </w:rPr>
                      <w:t xml:space="preserve"> </w:t>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360"/>
      <w:jc w:val="left"/>
      <w:rPr>
        <w:rFonts w:eastAsia="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364" w:firstLineChars="0"/>
      <w:jc w:val="left"/>
      <w:rPr>
        <w:rFonts w:eastAsia="宋体"/>
        <w:sz w:val="24"/>
      </w:rPr>
    </w:pPr>
    <w:r>
      <w:rPr>
        <w:rFonts w:eastAsia="宋体"/>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left"/>
                            <w:rPr>
                              <w:rFonts w:eastAsia="宋体"/>
                              <w:sz w:val="24"/>
                            </w:rPr>
                          </w:pPr>
                          <w:r>
                            <w:rPr>
                              <w:rFonts w:eastAsia="宋体"/>
                              <w:sz w:val="24"/>
                            </w:rPr>
                            <w:t xml:space="preserve">— </w:t>
                          </w:r>
                          <w:r>
                            <w:rPr>
                              <w:rFonts w:eastAsia="宋体"/>
                              <w:sz w:val="24"/>
                            </w:rPr>
                            <w:fldChar w:fldCharType="begin"/>
                          </w:r>
                          <w:r>
                            <w:rPr>
                              <w:rFonts w:eastAsia="宋体"/>
                              <w:sz w:val="24"/>
                            </w:rPr>
                            <w:instrText xml:space="preserve"> PAGE  \* MERGEFORMAT </w:instrText>
                          </w:r>
                          <w:r>
                            <w:rPr>
                              <w:rFonts w:eastAsia="宋体"/>
                              <w:sz w:val="24"/>
                            </w:rPr>
                            <w:fldChar w:fldCharType="separate"/>
                          </w:r>
                          <w:r>
                            <w:rPr>
                              <w:rFonts w:eastAsia="宋体"/>
                              <w:sz w:val="24"/>
                            </w:rPr>
                            <w:t>87</w:t>
                          </w:r>
                          <w:r>
                            <w:rPr>
                              <w:rFonts w:eastAsia="宋体"/>
                              <w:sz w:val="24"/>
                            </w:rPr>
                            <w:fldChar w:fldCharType="end"/>
                          </w:r>
                          <w:r>
                            <w:rPr>
                              <w:rFonts w:eastAsia="宋体"/>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pPr>
                      <w:spacing w:line="240" w:lineRule="auto"/>
                      <w:ind w:firstLine="0" w:firstLineChars="0"/>
                      <w:jc w:val="left"/>
                      <w:rPr>
                        <w:rFonts w:eastAsia="宋体"/>
                        <w:sz w:val="24"/>
                      </w:rPr>
                    </w:pPr>
                    <w:r>
                      <w:rPr>
                        <w:rFonts w:eastAsia="宋体"/>
                        <w:sz w:val="24"/>
                      </w:rPr>
                      <w:t xml:space="preserve">— </w:t>
                    </w:r>
                    <w:r>
                      <w:rPr>
                        <w:rFonts w:eastAsia="宋体"/>
                        <w:sz w:val="24"/>
                      </w:rPr>
                      <w:fldChar w:fldCharType="begin"/>
                    </w:r>
                    <w:r>
                      <w:rPr>
                        <w:rFonts w:eastAsia="宋体"/>
                        <w:sz w:val="24"/>
                      </w:rPr>
                      <w:instrText xml:space="preserve"> PAGE  \* MERGEFORMAT </w:instrText>
                    </w:r>
                    <w:r>
                      <w:rPr>
                        <w:rFonts w:eastAsia="宋体"/>
                        <w:sz w:val="24"/>
                      </w:rPr>
                      <w:fldChar w:fldCharType="separate"/>
                    </w:r>
                    <w:r>
                      <w:rPr>
                        <w:rFonts w:eastAsia="宋体"/>
                        <w:sz w:val="24"/>
                      </w:rPr>
                      <w:t>87</w:t>
                    </w:r>
                    <w:r>
                      <w:rPr>
                        <w:rFonts w:eastAsia="宋体"/>
                        <w:sz w:val="24"/>
                      </w:rPr>
                      <w:fldChar w:fldCharType="end"/>
                    </w:r>
                    <w:r>
                      <w:rPr>
                        <w:rFonts w:eastAsia="宋体"/>
                        <w:sz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364" w:firstLineChars="0"/>
      <w:jc w:val="left"/>
      <w:rPr>
        <w:rFonts w:eastAsia="宋体"/>
        <w:sz w:val="24"/>
      </w:rPr>
    </w:pPr>
    <w:r>
      <w:rPr>
        <w:rFonts w:eastAsia="宋体"/>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left"/>
                            <w:rPr>
                              <w:rFonts w:eastAsia="宋体"/>
                              <w:sz w:val="24"/>
                            </w:rPr>
                          </w:pPr>
                          <w:r>
                            <w:rPr>
                              <w:rFonts w:eastAsia="宋体"/>
                              <w:sz w:val="24"/>
                            </w:rPr>
                            <w:t xml:space="preserve">— </w:t>
                          </w:r>
                          <w:r>
                            <w:rPr>
                              <w:rFonts w:eastAsia="宋体"/>
                              <w:sz w:val="24"/>
                            </w:rPr>
                            <w:fldChar w:fldCharType="begin"/>
                          </w:r>
                          <w:r>
                            <w:rPr>
                              <w:rFonts w:eastAsia="宋体"/>
                              <w:sz w:val="24"/>
                            </w:rPr>
                            <w:instrText xml:space="preserve"> PAGE  \* MERGEFORMAT </w:instrText>
                          </w:r>
                          <w:r>
                            <w:rPr>
                              <w:rFonts w:eastAsia="宋体"/>
                              <w:sz w:val="24"/>
                            </w:rPr>
                            <w:fldChar w:fldCharType="separate"/>
                          </w:r>
                          <w:r>
                            <w:rPr>
                              <w:rFonts w:eastAsia="宋体"/>
                              <w:sz w:val="24"/>
                            </w:rPr>
                            <w:t>1</w:t>
                          </w:r>
                          <w:r>
                            <w:rPr>
                              <w:rFonts w:eastAsia="宋体"/>
                              <w:sz w:val="24"/>
                            </w:rPr>
                            <w:fldChar w:fldCharType="end"/>
                          </w:r>
                          <w:r>
                            <w:rPr>
                              <w:rFonts w:eastAsia="宋体"/>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2RfsRwCAAAnBAAADgAAAAAAAAABACAAAAA1AQAAZHJzL2Uyb0RvYy54bWxQSwUG&#10;AAAAAAYABgBZAQAAwwUAAAAA&#10;">
              <v:fill on="f" focussize="0,0"/>
              <v:stroke on="f" weight="0.5pt"/>
              <v:imagedata o:title=""/>
              <o:lock v:ext="edit" aspectratio="f"/>
              <v:textbox inset="0mm,0mm,0mm,0mm" style="mso-fit-shape-to-text:t;">
                <w:txbxContent>
                  <w:p>
                    <w:pPr>
                      <w:spacing w:line="240" w:lineRule="auto"/>
                      <w:ind w:firstLine="0" w:firstLineChars="0"/>
                      <w:jc w:val="left"/>
                      <w:rPr>
                        <w:rFonts w:eastAsia="宋体"/>
                        <w:sz w:val="24"/>
                      </w:rPr>
                    </w:pPr>
                    <w:r>
                      <w:rPr>
                        <w:rFonts w:eastAsia="宋体"/>
                        <w:sz w:val="24"/>
                      </w:rPr>
                      <w:t xml:space="preserve">— </w:t>
                    </w:r>
                    <w:r>
                      <w:rPr>
                        <w:rFonts w:eastAsia="宋体"/>
                        <w:sz w:val="24"/>
                      </w:rPr>
                      <w:fldChar w:fldCharType="begin"/>
                    </w:r>
                    <w:r>
                      <w:rPr>
                        <w:rFonts w:eastAsia="宋体"/>
                        <w:sz w:val="24"/>
                      </w:rPr>
                      <w:instrText xml:space="preserve"> PAGE  \* MERGEFORMAT </w:instrText>
                    </w:r>
                    <w:r>
                      <w:rPr>
                        <w:rFonts w:eastAsia="宋体"/>
                        <w:sz w:val="24"/>
                      </w:rPr>
                      <w:fldChar w:fldCharType="separate"/>
                    </w:r>
                    <w:r>
                      <w:rPr>
                        <w:rFonts w:eastAsia="宋体"/>
                        <w:sz w:val="24"/>
                      </w:rPr>
                      <w:t>1</w:t>
                    </w:r>
                    <w:r>
                      <w:rPr>
                        <w:rFonts w:eastAsia="宋体"/>
                        <w:sz w:val="24"/>
                      </w:rPr>
                      <w:fldChar w:fldCharType="end"/>
                    </w:r>
                    <w:r>
                      <w:rPr>
                        <w:rFonts w:eastAsia="宋体"/>
                        <w:sz w:val="24"/>
                      </w:rPr>
                      <w:t xml:space="preserve"> —</w:t>
                    </w:r>
                  </w:p>
                </w:txbxContent>
              </v:textbox>
            </v:shape>
          </w:pict>
        </mc:Fallback>
      </mc:AlternateContent>
    </w:r>
    <w:r>
      <w:rPr>
        <w:rFonts w:eastAsia="宋体"/>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auto"/>
                            <w:ind w:firstLine="0" w:firstLineChars="0"/>
                            <w:jc w:val="left"/>
                            <w:rPr>
                              <w:rFonts w:eastAsia="宋体"/>
                              <w:sz w:val="24"/>
                            </w:rPr>
                          </w:pPr>
                          <w:r>
                            <w:rPr>
                              <w:rFonts w:eastAsia="宋体"/>
                              <w:sz w:val="24"/>
                            </w:rPr>
                            <w:t>—</w:t>
                          </w:r>
                          <w:r>
                            <w:rPr>
                              <w:rFonts w:hint="eastAsia" w:eastAsia="宋体"/>
                              <w:sz w:val="24"/>
                            </w:rPr>
                            <w:t xml:space="preserve"> </w:t>
                          </w:r>
                          <w:r>
                            <w:rPr>
                              <w:rFonts w:eastAsia="宋体"/>
                              <w:sz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NW6GwaAgAAJwQAAA4AAAAAAAAAAQAgAAAANQEAAGRycy9lMm9Eb2MueG1sUEsFBgAA&#10;AAAGAAYAWQEAAMEFAAAAAA==&#10;">
              <v:fill on="f" focussize="0,0"/>
              <v:stroke on="f" weight="0.5pt"/>
              <v:imagedata o:title=""/>
              <o:lock v:ext="edit" aspectratio="f"/>
              <v:textbox inset="0mm,0mm,0mm,0mm" style="mso-fit-shape-to-text:t;">
                <w:txbxContent>
                  <w:p>
                    <w:pPr>
                      <w:spacing w:line="240" w:lineRule="auto"/>
                      <w:ind w:firstLine="0" w:firstLineChars="0"/>
                      <w:jc w:val="left"/>
                      <w:rPr>
                        <w:rFonts w:eastAsia="宋体"/>
                        <w:sz w:val="24"/>
                      </w:rPr>
                    </w:pPr>
                    <w:r>
                      <w:rPr>
                        <w:rFonts w:eastAsia="宋体"/>
                        <w:sz w:val="24"/>
                      </w:rPr>
                      <w:t>—</w:t>
                    </w:r>
                    <w:r>
                      <w:rPr>
                        <w:rFonts w:hint="eastAsia" w:eastAsia="宋体"/>
                        <w:sz w:val="24"/>
                      </w:rPr>
                      <w:t xml:space="preserve"> </w:t>
                    </w:r>
                    <w:r>
                      <w:rPr>
                        <w:rFonts w:eastAsia="宋体"/>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360"/>
      <w:jc w:val="center"/>
      <w:rPr>
        <w:rFonts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360"/>
      <w:jc w:val="center"/>
      <w:rPr>
        <w:rFonts w:eastAsia="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360"/>
      <w:jc w:val="center"/>
      <w:rPr>
        <w:rFonts w:eastAsia="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360"/>
      <w:jc w:val="center"/>
      <w:rPr>
        <w:rFonts w:eastAsia="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360"/>
      <w:jc w:val="center"/>
      <w:rPr>
        <w:rFonts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6684E"/>
    <w:multiLevelType w:val="singleLevel"/>
    <w:tmpl w:val="8AF6684E"/>
    <w:lvl w:ilvl="0" w:tentative="0">
      <w:start w:val="1"/>
      <w:numFmt w:val="chineseCounting"/>
      <w:suff w:val="space"/>
      <w:lvlText w:val="第%1条"/>
      <w:lvlJc w:val="left"/>
      <w:pPr>
        <w:ind w:left="0" w:firstLine="420"/>
      </w:pPr>
      <w:rPr>
        <w:rFonts w:hint="eastAsia" w:eastAsia="仿宋_GB2312"/>
        <w:b/>
        <w:sz w:val="30"/>
      </w:rPr>
    </w:lvl>
  </w:abstractNum>
  <w:abstractNum w:abstractNumId="1">
    <w:nsid w:val="A7F09D39"/>
    <w:multiLevelType w:val="singleLevel"/>
    <w:tmpl w:val="A7F09D39"/>
    <w:lvl w:ilvl="0" w:tentative="0">
      <w:start w:val="1"/>
      <w:numFmt w:val="chineseCounting"/>
      <w:suff w:val="nothing"/>
      <w:lvlText w:val="（%1）"/>
      <w:lvlJc w:val="left"/>
      <w:rPr>
        <w:rFonts w:hint="eastAsia"/>
      </w:rPr>
    </w:lvl>
  </w:abstractNum>
  <w:abstractNum w:abstractNumId="2">
    <w:nsid w:val="BB7DE710"/>
    <w:multiLevelType w:val="singleLevel"/>
    <w:tmpl w:val="BB7DE710"/>
    <w:lvl w:ilvl="0" w:tentative="0">
      <w:start w:val="19"/>
      <w:numFmt w:val="decimal"/>
      <w:lvlText w:val="%1."/>
      <w:lvlJc w:val="left"/>
      <w:pPr>
        <w:tabs>
          <w:tab w:val="left" w:pos="312"/>
        </w:tabs>
      </w:pPr>
    </w:lvl>
  </w:abstractNum>
  <w:abstractNum w:abstractNumId="3">
    <w:nsid w:val="C7B734B6"/>
    <w:multiLevelType w:val="singleLevel"/>
    <w:tmpl w:val="C7B734B6"/>
    <w:lvl w:ilvl="0" w:tentative="0">
      <w:start w:val="2"/>
      <w:numFmt w:val="decimal"/>
      <w:lvlText w:val="%1."/>
      <w:lvlJc w:val="left"/>
      <w:pPr>
        <w:tabs>
          <w:tab w:val="left" w:pos="312"/>
        </w:tabs>
      </w:pPr>
    </w:lvl>
  </w:abstractNum>
  <w:abstractNum w:abstractNumId="4">
    <w:nsid w:val="E859B957"/>
    <w:multiLevelType w:val="singleLevel"/>
    <w:tmpl w:val="E859B957"/>
    <w:lvl w:ilvl="0" w:tentative="0">
      <w:start w:val="1"/>
      <w:numFmt w:val="decimal"/>
      <w:suff w:val="nothing"/>
      <w:lvlText w:val="（%1）"/>
      <w:lvlJc w:val="left"/>
    </w:lvl>
  </w:abstractNum>
  <w:abstractNum w:abstractNumId="5">
    <w:nsid w:val="EB58E02B"/>
    <w:multiLevelType w:val="singleLevel"/>
    <w:tmpl w:val="EB58E02B"/>
    <w:lvl w:ilvl="0" w:tentative="0">
      <w:start w:val="1"/>
      <w:numFmt w:val="chineseCounting"/>
      <w:suff w:val="nothing"/>
      <w:lvlText w:val="（%1）"/>
      <w:lvlJc w:val="left"/>
      <w:rPr>
        <w:rFonts w:hint="eastAsia"/>
      </w:rPr>
    </w:lvl>
  </w:abstractNum>
  <w:abstractNum w:abstractNumId="6">
    <w:nsid w:val="F0F9D27D"/>
    <w:multiLevelType w:val="singleLevel"/>
    <w:tmpl w:val="F0F9D27D"/>
    <w:lvl w:ilvl="0" w:tentative="0">
      <w:start w:val="1"/>
      <w:numFmt w:val="chineseCounting"/>
      <w:suff w:val="nothing"/>
      <w:lvlText w:val="（%1）"/>
      <w:lvlJc w:val="left"/>
      <w:rPr>
        <w:rFonts w:hint="eastAsia"/>
      </w:rPr>
    </w:lvl>
  </w:abstractNum>
  <w:abstractNum w:abstractNumId="7">
    <w:nsid w:val="FEF33F5F"/>
    <w:multiLevelType w:val="singleLevel"/>
    <w:tmpl w:val="FEF33F5F"/>
    <w:lvl w:ilvl="0" w:tentative="0">
      <w:start w:val="1"/>
      <w:numFmt w:val="chineseCounting"/>
      <w:suff w:val="nothing"/>
      <w:lvlText w:val="第%1条 "/>
      <w:lvlJc w:val="left"/>
      <w:pPr>
        <w:ind w:left="0" w:firstLine="420"/>
      </w:pPr>
      <w:rPr>
        <w:rFonts w:hint="eastAsia" w:cs="仿宋_GB2312"/>
        <w:b/>
        <w:szCs w:val="30"/>
      </w:rPr>
    </w:lvl>
  </w:abstractNum>
  <w:abstractNum w:abstractNumId="8">
    <w:nsid w:val="00000003"/>
    <w:multiLevelType w:val="singleLevel"/>
    <w:tmpl w:val="00000003"/>
    <w:lvl w:ilvl="0" w:tentative="0">
      <w:start w:val="1"/>
      <w:numFmt w:val="decimal"/>
      <w:suff w:val="nothing"/>
      <w:lvlText w:val="（%1）"/>
      <w:lvlJc w:val="left"/>
    </w:lvl>
  </w:abstractNum>
  <w:abstractNum w:abstractNumId="9">
    <w:nsid w:val="00000006"/>
    <w:multiLevelType w:val="multilevel"/>
    <w:tmpl w:val="00000006"/>
    <w:lvl w:ilvl="0" w:tentative="0">
      <w:start w:val="1"/>
      <w:numFmt w:val="chineseCountingThousand"/>
      <w:suff w:val="nothing"/>
      <w:lvlText w:val="第%1章"/>
      <w:lvlJc w:val="left"/>
      <w:pPr>
        <w:ind w:left="567"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0">
    <w:nsid w:val="180BAC68"/>
    <w:multiLevelType w:val="singleLevel"/>
    <w:tmpl w:val="180BAC68"/>
    <w:lvl w:ilvl="0" w:tentative="0">
      <w:start w:val="1"/>
      <w:numFmt w:val="chineseCounting"/>
      <w:suff w:val="nothing"/>
      <w:lvlText w:val="（%1）"/>
      <w:lvlJc w:val="left"/>
      <w:rPr>
        <w:rFonts w:hint="eastAsia"/>
      </w:rPr>
    </w:lvl>
  </w:abstractNum>
  <w:abstractNum w:abstractNumId="11">
    <w:nsid w:val="48A8591F"/>
    <w:multiLevelType w:val="singleLevel"/>
    <w:tmpl w:val="48A8591F"/>
    <w:lvl w:ilvl="0" w:tentative="0">
      <w:start w:val="4"/>
      <w:numFmt w:val="chineseCounting"/>
      <w:suff w:val="nothing"/>
      <w:lvlText w:val="%1、"/>
      <w:lvlJc w:val="left"/>
      <w:rPr>
        <w:rFonts w:hint="eastAsia"/>
      </w:rPr>
    </w:lvl>
  </w:abstractNum>
  <w:abstractNum w:abstractNumId="12">
    <w:nsid w:val="5372C2AA"/>
    <w:multiLevelType w:val="singleLevel"/>
    <w:tmpl w:val="5372C2AA"/>
    <w:lvl w:ilvl="0" w:tentative="0">
      <w:start w:val="1"/>
      <w:numFmt w:val="chineseCounting"/>
      <w:suff w:val="nothing"/>
      <w:lvlText w:val="（%1）"/>
      <w:lvlJc w:val="left"/>
      <w:rPr>
        <w:rFonts w:hint="eastAsia"/>
      </w:rPr>
    </w:lvl>
  </w:abstractNum>
  <w:abstractNum w:abstractNumId="13">
    <w:nsid w:val="6590E94A"/>
    <w:multiLevelType w:val="singleLevel"/>
    <w:tmpl w:val="6590E94A"/>
    <w:lvl w:ilvl="0" w:tentative="0">
      <w:start w:val="3"/>
      <w:numFmt w:val="chineseCounting"/>
      <w:suff w:val="space"/>
      <w:lvlText w:val="第%1章"/>
      <w:lvlJc w:val="left"/>
      <w:rPr>
        <w:rFonts w:hint="eastAsia"/>
      </w:rPr>
    </w:lvl>
  </w:abstractNum>
  <w:abstractNum w:abstractNumId="14">
    <w:nsid w:val="6A3B3F61"/>
    <w:multiLevelType w:val="singleLevel"/>
    <w:tmpl w:val="6A3B3F61"/>
    <w:lvl w:ilvl="0" w:tentative="0">
      <w:start w:val="1"/>
      <w:numFmt w:val="chineseCounting"/>
      <w:suff w:val="nothing"/>
      <w:lvlText w:val="第%1条 "/>
      <w:lvlJc w:val="left"/>
      <w:pPr>
        <w:ind w:left="0" w:firstLine="420"/>
      </w:pPr>
      <w:rPr>
        <w:rFonts w:hint="eastAsia" w:cs="仿宋_GB2312"/>
        <w:b/>
        <w:szCs w:val="30"/>
      </w:rPr>
    </w:lvl>
  </w:abstractNum>
  <w:abstractNum w:abstractNumId="15">
    <w:nsid w:val="7518ECE9"/>
    <w:multiLevelType w:val="singleLevel"/>
    <w:tmpl w:val="7518ECE9"/>
    <w:lvl w:ilvl="0" w:tentative="0">
      <w:start w:val="1"/>
      <w:numFmt w:val="chineseCounting"/>
      <w:suff w:val="space"/>
      <w:lvlText w:val="第%1条"/>
      <w:lvlJc w:val="left"/>
      <w:rPr>
        <w:rFonts w:hint="eastAsia"/>
      </w:rPr>
    </w:lvl>
  </w:abstractNum>
  <w:num w:numId="1">
    <w:abstractNumId w:val="8"/>
  </w:num>
  <w:num w:numId="2">
    <w:abstractNumId w:val="4"/>
  </w:num>
  <w:num w:numId="3">
    <w:abstractNumId w:val="13"/>
  </w:num>
  <w:num w:numId="4">
    <w:abstractNumId w:val="9"/>
  </w:num>
  <w:num w:numId="5">
    <w:abstractNumId w:val="11"/>
  </w:num>
  <w:num w:numId="6">
    <w:abstractNumId w:val="2"/>
  </w:num>
  <w:num w:numId="7">
    <w:abstractNumId w:val="15"/>
  </w:num>
  <w:num w:numId="8">
    <w:abstractNumId w:val="3"/>
  </w:num>
  <w:num w:numId="9">
    <w:abstractNumId w:val="0"/>
  </w:num>
  <w:num w:numId="10">
    <w:abstractNumId w:val="6"/>
  </w:num>
  <w:num w:numId="11">
    <w:abstractNumId w:val="10"/>
  </w:num>
  <w:num w:numId="12">
    <w:abstractNumId w:val="12"/>
  </w:num>
  <w:num w:numId="13">
    <w:abstractNumId w:val="14"/>
  </w:num>
  <w:num w:numId="14">
    <w:abstractNumId w:val="7"/>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220"/>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xNjE4OGMyOTNmNTI1YjEyZjdkZjQ3MmZhOTMzZjEifQ=="/>
  </w:docVars>
  <w:rsids>
    <w:rsidRoot w:val="1E075062"/>
    <w:rsid w:val="00001B36"/>
    <w:rsid w:val="0000738C"/>
    <w:rsid w:val="000434ED"/>
    <w:rsid w:val="00061D90"/>
    <w:rsid w:val="00062789"/>
    <w:rsid w:val="0007728E"/>
    <w:rsid w:val="0007773A"/>
    <w:rsid w:val="000A78DD"/>
    <w:rsid w:val="000B42CC"/>
    <w:rsid w:val="000B6281"/>
    <w:rsid w:val="000B7518"/>
    <w:rsid w:val="000C2008"/>
    <w:rsid w:val="000D7486"/>
    <w:rsid w:val="000E6743"/>
    <w:rsid w:val="000F00AF"/>
    <w:rsid w:val="000F0F37"/>
    <w:rsid w:val="00124394"/>
    <w:rsid w:val="0013325D"/>
    <w:rsid w:val="00134911"/>
    <w:rsid w:val="00142FCF"/>
    <w:rsid w:val="00146C6A"/>
    <w:rsid w:val="001514E9"/>
    <w:rsid w:val="001525B9"/>
    <w:rsid w:val="00157273"/>
    <w:rsid w:val="00162F27"/>
    <w:rsid w:val="001728FB"/>
    <w:rsid w:val="00172B79"/>
    <w:rsid w:val="0017495C"/>
    <w:rsid w:val="001855CA"/>
    <w:rsid w:val="00191666"/>
    <w:rsid w:val="001970BE"/>
    <w:rsid w:val="001A4700"/>
    <w:rsid w:val="001A61CE"/>
    <w:rsid w:val="001A772A"/>
    <w:rsid w:val="001B148F"/>
    <w:rsid w:val="001B4FD8"/>
    <w:rsid w:val="001C23F7"/>
    <w:rsid w:val="001D4206"/>
    <w:rsid w:val="001D7D62"/>
    <w:rsid w:val="001E4BA0"/>
    <w:rsid w:val="00200B3F"/>
    <w:rsid w:val="00210D6E"/>
    <w:rsid w:val="00212C22"/>
    <w:rsid w:val="00217C8D"/>
    <w:rsid w:val="00221294"/>
    <w:rsid w:val="002277ED"/>
    <w:rsid w:val="002319D0"/>
    <w:rsid w:val="002512D0"/>
    <w:rsid w:val="00270364"/>
    <w:rsid w:val="002823DB"/>
    <w:rsid w:val="002837A2"/>
    <w:rsid w:val="00290F8E"/>
    <w:rsid w:val="0029265D"/>
    <w:rsid w:val="002941DF"/>
    <w:rsid w:val="002B0208"/>
    <w:rsid w:val="002B03A1"/>
    <w:rsid w:val="002D0422"/>
    <w:rsid w:val="002F0231"/>
    <w:rsid w:val="002F2432"/>
    <w:rsid w:val="00307A95"/>
    <w:rsid w:val="00320F3A"/>
    <w:rsid w:val="00332716"/>
    <w:rsid w:val="00333A2A"/>
    <w:rsid w:val="00337586"/>
    <w:rsid w:val="00350D6D"/>
    <w:rsid w:val="003526A4"/>
    <w:rsid w:val="00360E24"/>
    <w:rsid w:val="0036410B"/>
    <w:rsid w:val="0036433E"/>
    <w:rsid w:val="00366274"/>
    <w:rsid w:val="00383854"/>
    <w:rsid w:val="003934B1"/>
    <w:rsid w:val="003A0BCC"/>
    <w:rsid w:val="003A51A9"/>
    <w:rsid w:val="003C236A"/>
    <w:rsid w:val="003C468C"/>
    <w:rsid w:val="003D6393"/>
    <w:rsid w:val="003F4584"/>
    <w:rsid w:val="00402268"/>
    <w:rsid w:val="00404369"/>
    <w:rsid w:val="004109BD"/>
    <w:rsid w:val="00411CA3"/>
    <w:rsid w:val="004245D9"/>
    <w:rsid w:val="004332F9"/>
    <w:rsid w:val="004361B6"/>
    <w:rsid w:val="004615F6"/>
    <w:rsid w:val="00496DA9"/>
    <w:rsid w:val="004A67D5"/>
    <w:rsid w:val="004B31F8"/>
    <w:rsid w:val="004B541C"/>
    <w:rsid w:val="004B75C8"/>
    <w:rsid w:val="004C6C67"/>
    <w:rsid w:val="004D060C"/>
    <w:rsid w:val="004D23C1"/>
    <w:rsid w:val="004D38E7"/>
    <w:rsid w:val="004D68E1"/>
    <w:rsid w:val="004D72A2"/>
    <w:rsid w:val="00505AA1"/>
    <w:rsid w:val="0051770D"/>
    <w:rsid w:val="00523EB0"/>
    <w:rsid w:val="00532159"/>
    <w:rsid w:val="00532778"/>
    <w:rsid w:val="005328F6"/>
    <w:rsid w:val="00550534"/>
    <w:rsid w:val="005539A0"/>
    <w:rsid w:val="00572A4D"/>
    <w:rsid w:val="00582081"/>
    <w:rsid w:val="0059620E"/>
    <w:rsid w:val="005A2F6C"/>
    <w:rsid w:val="005B479C"/>
    <w:rsid w:val="005E19C0"/>
    <w:rsid w:val="005E28E4"/>
    <w:rsid w:val="005F06CE"/>
    <w:rsid w:val="00602E74"/>
    <w:rsid w:val="00610626"/>
    <w:rsid w:val="0062662E"/>
    <w:rsid w:val="00660A54"/>
    <w:rsid w:val="00661C1A"/>
    <w:rsid w:val="0067722F"/>
    <w:rsid w:val="00684CA5"/>
    <w:rsid w:val="00697777"/>
    <w:rsid w:val="006E540F"/>
    <w:rsid w:val="00713197"/>
    <w:rsid w:val="00714604"/>
    <w:rsid w:val="00714E3B"/>
    <w:rsid w:val="00717111"/>
    <w:rsid w:val="007173F4"/>
    <w:rsid w:val="007218EE"/>
    <w:rsid w:val="00722851"/>
    <w:rsid w:val="0074038F"/>
    <w:rsid w:val="00740B71"/>
    <w:rsid w:val="0074564C"/>
    <w:rsid w:val="00745D3F"/>
    <w:rsid w:val="00750754"/>
    <w:rsid w:val="007528BC"/>
    <w:rsid w:val="00760B93"/>
    <w:rsid w:val="00762EA4"/>
    <w:rsid w:val="00765DEB"/>
    <w:rsid w:val="00770458"/>
    <w:rsid w:val="00790C28"/>
    <w:rsid w:val="00793D8E"/>
    <w:rsid w:val="007956F6"/>
    <w:rsid w:val="007B0D74"/>
    <w:rsid w:val="007C52C3"/>
    <w:rsid w:val="00806A2E"/>
    <w:rsid w:val="00807ABD"/>
    <w:rsid w:val="00810D87"/>
    <w:rsid w:val="00811621"/>
    <w:rsid w:val="0083081E"/>
    <w:rsid w:val="00832C64"/>
    <w:rsid w:val="00835444"/>
    <w:rsid w:val="008469DF"/>
    <w:rsid w:val="00857CC7"/>
    <w:rsid w:val="0086434E"/>
    <w:rsid w:val="008A74A8"/>
    <w:rsid w:val="008C4387"/>
    <w:rsid w:val="008D5341"/>
    <w:rsid w:val="008F370D"/>
    <w:rsid w:val="008F3B35"/>
    <w:rsid w:val="008F40A9"/>
    <w:rsid w:val="00912BB9"/>
    <w:rsid w:val="00913B59"/>
    <w:rsid w:val="009224C0"/>
    <w:rsid w:val="009450F4"/>
    <w:rsid w:val="009466B2"/>
    <w:rsid w:val="00950E6D"/>
    <w:rsid w:val="00953B6C"/>
    <w:rsid w:val="00956718"/>
    <w:rsid w:val="00977D5F"/>
    <w:rsid w:val="0098559B"/>
    <w:rsid w:val="0099182E"/>
    <w:rsid w:val="0099489B"/>
    <w:rsid w:val="009A5B6B"/>
    <w:rsid w:val="009A7FDD"/>
    <w:rsid w:val="009B2D84"/>
    <w:rsid w:val="009B39A4"/>
    <w:rsid w:val="009C39DE"/>
    <w:rsid w:val="009C506D"/>
    <w:rsid w:val="009C6AF0"/>
    <w:rsid w:val="009D1D7F"/>
    <w:rsid w:val="009F1FC4"/>
    <w:rsid w:val="00A04F90"/>
    <w:rsid w:val="00A20BE2"/>
    <w:rsid w:val="00A22F74"/>
    <w:rsid w:val="00A37BC8"/>
    <w:rsid w:val="00A40E03"/>
    <w:rsid w:val="00A52519"/>
    <w:rsid w:val="00A5744D"/>
    <w:rsid w:val="00A720B5"/>
    <w:rsid w:val="00A7240F"/>
    <w:rsid w:val="00AA3CEC"/>
    <w:rsid w:val="00AA544D"/>
    <w:rsid w:val="00AA637F"/>
    <w:rsid w:val="00AE59D3"/>
    <w:rsid w:val="00AF0F04"/>
    <w:rsid w:val="00AF17FA"/>
    <w:rsid w:val="00AF2432"/>
    <w:rsid w:val="00B00E99"/>
    <w:rsid w:val="00B01CC5"/>
    <w:rsid w:val="00B04A82"/>
    <w:rsid w:val="00B07109"/>
    <w:rsid w:val="00B2443A"/>
    <w:rsid w:val="00B335F9"/>
    <w:rsid w:val="00B356B2"/>
    <w:rsid w:val="00B523B3"/>
    <w:rsid w:val="00B62B2C"/>
    <w:rsid w:val="00B64AB2"/>
    <w:rsid w:val="00B66537"/>
    <w:rsid w:val="00B66D8A"/>
    <w:rsid w:val="00BA6E8E"/>
    <w:rsid w:val="00BB1DDE"/>
    <w:rsid w:val="00BB3D3F"/>
    <w:rsid w:val="00BB5046"/>
    <w:rsid w:val="00BB6629"/>
    <w:rsid w:val="00BC2BBB"/>
    <w:rsid w:val="00BC57CD"/>
    <w:rsid w:val="00BC7ECE"/>
    <w:rsid w:val="00BD0A63"/>
    <w:rsid w:val="00BD21A6"/>
    <w:rsid w:val="00BD279C"/>
    <w:rsid w:val="00BD6857"/>
    <w:rsid w:val="00BE3501"/>
    <w:rsid w:val="00BF20A9"/>
    <w:rsid w:val="00BF20BC"/>
    <w:rsid w:val="00C03F5D"/>
    <w:rsid w:val="00C12DA9"/>
    <w:rsid w:val="00C145CF"/>
    <w:rsid w:val="00C17DC5"/>
    <w:rsid w:val="00C24CB6"/>
    <w:rsid w:val="00C336D2"/>
    <w:rsid w:val="00C37FBE"/>
    <w:rsid w:val="00C64387"/>
    <w:rsid w:val="00C94963"/>
    <w:rsid w:val="00CA7FE7"/>
    <w:rsid w:val="00CD05DA"/>
    <w:rsid w:val="00CD201C"/>
    <w:rsid w:val="00CF37AF"/>
    <w:rsid w:val="00D000E4"/>
    <w:rsid w:val="00D06B0A"/>
    <w:rsid w:val="00D17991"/>
    <w:rsid w:val="00D248C6"/>
    <w:rsid w:val="00D31457"/>
    <w:rsid w:val="00D32B4C"/>
    <w:rsid w:val="00D40553"/>
    <w:rsid w:val="00D43967"/>
    <w:rsid w:val="00D46925"/>
    <w:rsid w:val="00D569C7"/>
    <w:rsid w:val="00D5726A"/>
    <w:rsid w:val="00D72607"/>
    <w:rsid w:val="00D742EF"/>
    <w:rsid w:val="00D83B7C"/>
    <w:rsid w:val="00D87EB0"/>
    <w:rsid w:val="00D913C7"/>
    <w:rsid w:val="00DB083D"/>
    <w:rsid w:val="00DC7890"/>
    <w:rsid w:val="00DF1F33"/>
    <w:rsid w:val="00DF7EDC"/>
    <w:rsid w:val="00E0770D"/>
    <w:rsid w:val="00E17BD9"/>
    <w:rsid w:val="00E358F0"/>
    <w:rsid w:val="00E40BB5"/>
    <w:rsid w:val="00E53A72"/>
    <w:rsid w:val="00E56C65"/>
    <w:rsid w:val="00E703D7"/>
    <w:rsid w:val="00E8497D"/>
    <w:rsid w:val="00E87A9D"/>
    <w:rsid w:val="00E90C66"/>
    <w:rsid w:val="00E94F6A"/>
    <w:rsid w:val="00E96E28"/>
    <w:rsid w:val="00E97804"/>
    <w:rsid w:val="00EC44F6"/>
    <w:rsid w:val="00EC5A8F"/>
    <w:rsid w:val="00ED6FC6"/>
    <w:rsid w:val="00EE24A8"/>
    <w:rsid w:val="00EE32DD"/>
    <w:rsid w:val="00EF28C4"/>
    <w:rsid w:val="00EF3210"/>
    <w:rsid w:val="00EF51EC"/>
    <w:rsid w:val="00EF5D26"/>
    <w:rsid w:val="00EF5E94"/>
    <w:rsid w:val="00F22AE0"/>
    <w:rsid w:val="00F34F21"/>
    <w:rsid w:val="00F42E4A"/>
    <w:rsid w:val="00F43712"/>
    <w:rsid w:val="00F754F8"/>
    <w:rsid w:val="00F87A72"/>
    <w:rsid w:val="00F9257D"/>
    <w:rsid w:val="00F928C2"/>
    <w:rsid w:val="00FA1E23"/>
    <w:rsid w:val="00FA4C70"/>
    <w:rsid w:val="00FB4547"/>
    <w:rsid w:val="00FB5B8B"/>
    <w:rsid w:val="00FB74C5"/>
    <w:rsid w:val="00FB7E7A"/>
    <w:rsid w:val="00FC2F6D"/>
    <w:rsid w:val="00FE3B0E"/>
    <w:rsid w:val="00FE7AD0"/>
    <w:rsid w:val="00FF455D"/>
    <w:rsid w:val="01157AF8"/>
    <w:rsid w:val="01161381"/>
    <w:rsid w:val="01192C1F"/>
    <w:rsid w:val="011D1476"/>
    <w:rsid w:val="011F69B8"/>
    <w:rsid w:val="01282E62"/>
    <w:rsid w:val="012A5BD8"/>
    <w:rsid w:val="012C4306"/>
    <w:rsid w:val="01347A59"/>
    <w:rsid w:val="013712F7"/>
    <w:rsid w:val="01374E54"/>
    <w:rsid w:val="01380346"/>
    <w:rsid w:val="01453A14"/>
    <w:rsid w:val="01466B55"/>
    <w:rsid w:val="014A4B87"/>
    <w:rsid w:val="014D24ED"/>
    <w:rsid w:val="01514167"/>
    <w:rsid w:val="01614B58"/>
    <w:rsid w:val="016F48DB"/>
    <w:rsid w:val="017F0313"/>
    <w:rsid w:val="018067FB"/>
    <w:rsid w:val="018C1643"/>
    <w:rsid w:val="018D0F01"/>
    <w:rsid w:val="019127B6"/>
    <w:rsid w:val="019A4073"/>
    <w:rsid w:val="019C3E61"/>
    <w:rsid w:val="019E4ED3"/>
    <w:rsid w:val="01A0715E"/>
    <w:rsid w:val="01A425EF"/>
    <w:rsid w:val="01AB39F5"/>
    <w:rsid w:val="01B140BF"/>
    <w:rsid w:val="01B446F6"/>
    <w:rsid w:val="01CC1A40"/>
    <w:rsid w:val="01DD3C4D"/>
    <w:rsid w:val="01E07299"/>
    <w:rsid w:val="01E23011"/>
    <w:rsid w:val="01EB51B8"/>
    <w:rsid w:val="01F21B1E"/>
    <w:rsid w:val="01F80A87"/>
    <w:rsid w:val="01F938A4"/>
    <w:rsid w:val="01FA47FF"/>
    <w:rsid w:val="01FE504C"/>
    <w:rsid w:val="020058B7"/>
    <w:rsid w:val="02184FF1"/>
    <w:rsid w:val="02292A5E"/>
    <w:rsid w:val="02310036"/>
    <w:rsid w:val="02322011"/>
    <w:rsid w:val="02357F37"/>
    <w:rsid w:val="023D293E"/>
    <w:rsid w:val="023E7D09"/>
    <w:rsid w:val="02421BC7"/>
    <w:rsid w:val="02493090"/>
    <w:rsid w:val="025127B5"/>
    <w:rsid w:val="026B1259"/>
    <w:rsid w:val="026C2299"/>
    <w:rsid w:val="026C4FD1"/>
    <w:rsid w:val="0283047A"/>
    <w:rsid w:val="0283736F"/>
    <w:rsid w:val="028C21C0"/>
    <w:rsid w:val="028E3199"/>
    <w:rsid w:val="02900CBF"/>
    <w:rsid w:val="02AB78A7"/>
    <w:rsid w:val="02AD361F"/>
    <w:rsid w:val="02BA2F89"/>
    <w:rsid w:val="02BC1D4F"/>
    <w:rsid w:val="02BC63E7"/>
    <w:rsid w:val="02C01E8A"/>
    <w:rsid w:val="02C313D8"/>
    <w:rsid w:val="02C60B85"/>
    <w:rsid w:val="02CC3DCA"/>
    <w:rsid w:val="02CD3389"/>
    <w:rsid w:val="02D42FF4"/>
    <w:rsid w:val="02DF57A3"/>
    <w:rsid w:val="02E64D83"/>
    <w:rsid w:val="02EE3C38"/>
    <w:rsid w:val="02F16230"/>
    <w:rsid w:val="02FB5F01"/>
    <w:rsid w:val="030671D3"/>
    <w:rsid w:val="030A5EB4"/>
    <w:rsid w:val="031C69F7"/>
    <w:rsid w:val="03206DB1"/>
    <w:rsid w:val="032850AE"/>
    <w:rsid w:val="032A2EC2"/>
    <w:rsid w:val="032B6C3A"/>
    <w:rsid w:val="03390AF5"/>
    <w:rsid w:val="034D6BB0"/>
    <w:rsid w:val="03547F3F"/>
    <w:rsid w:val="03551F2A"/>
    <w:rsid w:val="03671055"/>
    <w:rsid w:val="036839EA"/>
    <w:rsid w:val="036C73CE"/>
    <w:rsid w:val="03725513"/>
    <w:rsid w:val="038325D2"/>
    <w:rsid w:val="038907AF"/>
    <w:rsid w:val="038C550B"/>
    <w:rsid w:val="038D1CCC"/>
    <w:rsid w:val="038E6A76"/>
    <w:rsid w:val="038F3245"/>
    <w:rsid w:val="039E740C"/>
    <w:rsid w:val="03A2514E"/>
    <w:rsid w:val="03A5393D"/>
    <w:rsid w:val="03AF73A5"/>
    <w:rsid w:val="03B011C6"/>
    <w:rsid w:val="03BD5AE4"/>
    <w:rsid w:val="03C52BEB"/>
    <w:rsid w:val="03CC5D27"/>
    <w:rsid w:val="03CD1F0F"/>
    <w:rsid w:val="03D1158F"/>
    <w:rsid w:val="03D3346E"/>
    <w:rsid w:val="03DA48E8"/>
    <w:rsid w:val="03E5328D"/>
    <w:rsid w:val="03E56DE9"/>
    <w:rsid w:val="03E6681E"/>
    <w:rsid w:val="03E80687"/>
    <w:rsid w:val="03EF656E"/>
    <w:rsid w:val="03F1578E"/>
    <w:rsid w:val="03F31506"/>
    <w:rsid w:val="03F71802"/>
    <w:rsid w:val="03F90AE6"/>
    <w:rsid w:val="03FD05D6"/>
    <w:rsid w:val="03FD4132"/>
    <w:rsid w:val="04001E75"/>
    <w:rsid w:val="04003C23"/>
    <w:rsid w:val="04025BED"/>
    <w:rsid w:val="04051E51"/>
    <w:rsid w:val="04071455"/>
    <w:rsid w:val="04073203"/>
    <w:rsid w:val="040A4330"/>
    <w:rsid w:val="040A684F"/>
    <w:rsid w:val="0414771C"/>
    <w:rsid w:val="041639ED"/>
    <w:rsid w:val="0422003D"/>
    <w:rsid w:val="042949B5"/>
    <w:rsid w:val="042C4A18"/>
    <w:rsid w:val="042F745B"/>
    <w:rsid w:val="04390C0B"/>
    <w:rsid w:val="043D6C25"/>
    <w:rsid w:val="04406715"/>
    <w:rsid w:val="04504BAA"/>
    <w:rsid w:val="04536448"/>
    <w:rsid w:val="0464048D"/>
    <w:rsid w:val="04683B9C"/>
    <w:rsid w:val="047D34C5"/>
    <w:rsid w:val="048760F2"/>
    <w:rsid w:val="048819C4"/>
    <w:rsid w:val="04926B8C"/>
    <w:rsid w:val="0495080F"/>
    <w:rsid w:val="04AC7907"/>
    <w:rsid w:val="04B750FD"/>
    <w:rsid w:val="04BA64C7"/>
    <w:rsid w:val="04C04447"/>
    <w:rsid w:val="04C335CE"/>
    <w:rsid w:val="04C73A84"/>
    <w:rsid w:val="04C74740"/>
    <w:rsid w:val="04D01847"/>
    <w:rsid w:val="04D17846"/>
    <w:rsid w:val="04DE55E9"/>
    <w:rsid w:val="04E43544"/>
    <w:rsid w:val="04E5578A"/>
    <w:rsid w:val="04ED6252"/>
    <w:rsid w:val="04F5705D"/>
    <w:rsid w:val="0500235B"/>
    <w:rsid w:val="05017C52"/>
    <w:rsid w:val="0506170D"/>
    <w:rsid w:val="0508737D"/>
    <w:rsid w:val="050F15EC"/>
    <w:rsid w:val="05151950"/>
    <w:rsid w:val="05265544"/>
    <w:rsid w:val="05295038"/>
    <w:rsid w:val="052E3E59"/>
    <w:rsid w:val="05393890"/>
    <w:rsid w:val="0539579D"/>
    <w:rsid w:val="053D4696"/>
    <w:rsid w:val="05495635"/>
    <w:rsid w:val="05553B59"/>
    <w:rsid w:val="055E2512"/>
    <w:rsid w:val="05600E78"/>
    <w:rsid w:val="056D20CA"/>
    <w:rsid w:val="0571302A"/>
    <w:rsid w:val="0575419C"/>
    <w:rsid w:val="05776166"/>
    <w:rsid w:val="057E74F5"/>
    <w:rsid w:val="05835F52"/>
    <w:rsid w:val="05972365"/>
    <w:rsid w:val="05976382"/>
    <w:rsid w:val="05A52CD4"/>
    <w:rsid w:val="05B66C8F"/>
    <w:rsid w:val="05BA3B18"/>
    <w:rsid w:val="05BB4BC3"/>
    <w:rsid w:val="05C80770"/>
    <w:rsid w:val="05CC64B2"/>
    <w:rsid w:val="05D610DF"/>
    <w:rsid w:val="05EE492D"/>
    <w:rsid w:val="05FB02CF"/>
    <w:rsid w:val="05FC4CED"/>
    <w:rsid w:val="06114927"/>
    <w:rsid w:val="06196D3F"/>
    <w:rsid w:val="062A142B"/>
    <w:rsid w:val="062C0CFF"/>
    <w:rsid w:val="062F3136"/>
    <w:rsid w:val="06366E11"/>
    <w:rsid w:val="0639535B"/>
    <w:rsid w:val="0644429B"/>
    <w:rsid w:val="064C13A1"/>
    <w:rsid w:val="064C7E90"/>
    <w:rsid w:val="06532730"/>
    <w:rsid w:val="065C0B7D"/>
    <w:rsid w:val="065E060B"/>
    <w:rsid w:val="06782196"/>
    <w:rsid w:val="06856661"/>
    <w:rsid w:val="068B6266"/>
    <w:rsid w:val="068C3E93"/>
    <w:rsid w:val="068E50FC"/>
    <w:rsid w:val="069718B3"/>
    <w:rsid w:val="069E344E"/>
    <w:rsid w:val="06A20E71"/>
    <w:rsid w:val="06A72A7B"/>
    <w:rsid w:val="06AA16C7"/>
    <w:rsid w:val="06AA444A"/>
    <w:rsid w:val="06AD65F1"/>
    <w:rsid w:val="06AE7704"/>
    <w:rsid w:val="06B317A1"/>
    <w:rsid w:val="06BC02D5"/>
    <w:rsid w:val="06C54CB0"/>
    <w:rsid w:val="06D05EEF"/>
    <w:rsid w:val="06D06A3A"/>
    <w:rsid w:val="06D80E87"/>
    <w:rsid w:val="06DC5E74"/>
    <w:rsid w:val="06E65352"/>
    <w:rsid w:val="06EB2968"/>
    <w:rsid w:val="07043A2A"/>
    <w:rsid w:val="070C29CD"/>
    <w:rsid w:val="071A08B8"/>
    <w:rsid w:val="072B7208"/>
    <w:rsid w:val="073159B2"/>
    <w:rsid w:val="07366C2D"/>
    <w:rsid w:val="073C7E17"/>
    <w:rsid w:val="07426B93"/>
    <w:rsid w:val="07471B97"/>
    <w:rsid w:val="074A3B33"/>
    <w:rsid w:val="074A67E8"/>
    <w:rsid w:val="07506C6F"/>
    <w:rsid w:val="07583F34"/>
    <w:rsid w:val="07621DFF"/>
    <w:rsid w:val="07641590"/>
    <w:rsid w:val="076A5F83"/>
    <w:rsid w:val="07711E01"/>
    <w:rsid w:val="07762B7A"/>
    <w:rsid w:val="077661CF"/>
    <w:rsid w:val="077706A0"/>
    <w:rsid w:val="07835838"/>
    <w:rsid w:val="078421AB"/>
    <w:rsid w:val="078828AD"/>
    <w:rsid w:val="078903A8"/>
    <w:rsid w:val="078F59E9"/>
    <w:rsid w:val="079B4BD5"/>
    <w:rsid w:val="07A41C5F"/>
    <w:rsid w:val="07A71A5E"/>
    <w:rsid w:val="07AB20F7"/>
    <w:rsid w:val="07B216D8"/>
    <w:rsid w:val="07CC09EB"/>
    <w:rsid w:val="07D1067F"/>
    <w:rsid w:val="07D275EB"/>
    <w:rsid w:val="07D94EB6"/>
    <w:rsid w:val="07DF2ECD"/>
    <w:rsid w:val="07DF3944"/>
    <w:rsid w:val="07EC6998"/>
    <w:rsid w:val="080143BB"/>
    <w:rsid w:val="08065580"/>
    <w:rsid w:val="08073659"/>
    <w:rsid w:val="080C456A"/>
    <w:rsid w:val="081216E1"/>
    <w:rsid w:val="08142E70"/>
    <w:rsid w:val="08200DDB"/>
    <w:rsid w:val="08251B75"/>
    <w:rsid w:val="08275C22"/>
    <w:rsid w:val="08280EC5"/>
    <w:rsid w:val="08286E7C"/>
    <w:rsid w:val="082A4C62"/>
    <w:rsid w:val="083D71F3"/>
    <w:rsid w:val="083E11BD"/>
    <w:rsid w:val="08512C9F"/>
    <w:rsid w:val="08566507"/>
    <w:rsid w:val="085B0587"/>
    <w:rsid w:val="086769FD"/>
    <w:rsid w:val="08687FE8"/>
    <w:rsid w:val="0869448C"/>
    <w:rsid w:val="086D46C2"/>
    <w:rsid w:val="087109F5"/>
    <w:rsid w:val="0877389D"/>
    <w:rsid w:val="087846CF"/>
    <w:rsid w:val="08797947"/>
    <w:rsid w:val="087C3C86"/>
    <w:rsid w:val="087D6023"/>
    <w:rsid w:val="087F2F38"/>
    <w:rsid w:val="08823475"/>
    <w:rsid w:val="08842483"/>
    <w:rsid w:val="0890309D"/>
    <w:rsid w:val="089112ED"/>
    <w:rsid w:val="0895702F"/>
    <w:rsid w:val="089808CE"/>
    <w:rsid w:val="089B6610"/>
    <w:rsid w:val="08A116F6"/>
    <w:rsid w:val="08A13EE5"/>
    <w:rsid w:val="08A3365A"/>
    <w:rsid w:val="08A3512F"/>
    <w:rsid w:val="08A86F6A"/>
    <w:rsid w:val="08AF79C5"/>
    <w:rsid w:val="08B51480"/>
    <w:rsid w:val="08B62ACD"/>
    <w:rsid w:val="08B651F8"/>
    <w:rsid w:val="08BD6586"/>
    <w:rsid w:val="08BF4B31"/>
    <w:rsid w:val="08BF5E5A"/>
    <w:rsid w:val="08C07E24"/>
    <w:rsid w:val="08C679EE"/>
    <w:rsid w:val="08D00067"/>
    <w:rsid w:val="08D37B58"/>
    <w:rsid w:val="08D86F1C"/>
    <w:rsid w:val="08D97D1B"/>
    <w:rsid w:val="08DA23EB"/>
    <w:rsid w:val="08DB75C8"/>
    <w:rsid w:val="08DF2743"/>
    <w:rsid w:val="08E81855"/>
    <w:rsid w:val="08F41CEB"/>
    <w:rsid w:val="08F51851"/>
    <w:rsid w:val="08F55D20"/>
    <w:rsid w:val="0902043D"/>
    <w:rsid w:val="090441B5"/>
    <w:rsid w:val="09060B0B"/>
    <w:rsid w:val="090715AF"/>
    <w:rsid w:val="090D12BC"/>
    <w:rsid w:val="090E293E"/>
    <w:rsid w:val="09150170"/>
    <w:rsid w:val="092108C3"/>
    <w:rsid w:val="09243B49"/>
    <w:rsid w:val="092A2F93"/>
    <w:rsid w:val="09331A07"/>
    <w:rsid w:val="093352CE"/>
    <w:rsid w:val="0933687D"/>
    <w:rsid w:val="0935436E"/>
    <w:rsid w:val="093700E7"/>
    <w:rsid w:val="094054B4"/>
    <w:rsid w:val="094445B2"/>
    <w:rsid w:val="0947404D"/>
    <w:rsid w:val="094C29F3"/>
    <w:rsid w:val="094E5430"/>
    <w:rsid w:val="095073FA"/>
    <w:rsid w:val="095A3DD5"/>
    <w:rsid w:val="097E5D15"/>
    <w:rsid w:val="09860A71"/>
    <w:rsid w:val="098B2C2E"/>
    <w:rsid w:val="09905A49"/>
    <w:rsid w:val="099A6A6F"/>
    <w:rsid w:val="099B7EFF"/>
    <w:rsid w:val="099E3733"/>
    <w:rsid w:val="099F5C8C"/>
    <w:rsid w:val="09A45050"/>
    <w:rsid w:val="09AF4F58"/>
    <w:rsid w:val="09B21785"/>
    <w:rsid w:val="09B540D2"/>
    <w:rsid w:val="09BB5841"/>
    <w:rsid w:val="09C52D51"/>
    <w:rsid w:val="09D92F4C"/>
    <w:rsid w:val="09E0252C"/>
    <w:rsid w:val="09E92122"/>
    <w:rsid w:val="09EE394E"/>
    <w:rsid w:val="09F558AC"/>
    <w:rsid w:val="09FB1114"/>
    <w:rsid w:val="09FB5B31"/>
    <w:rsid w:val="0A0855DF"/>
    <w:rsid w:val="0A0A57FB"/>
    <w:rsid w:val="0A0F4BBF"/>
    <w:rsid w:val="0A15442E"/>
    <w:rsid w:val="0A165F4E"/>
    <w:rsid w:val="0A20501F"/>
    <w:rsid w:val="0A2825E1"/>
    <w:rsid w:val="0A2A1F67"/>
    <w:rsid w:val="0A2A5F2B"/>
    <w:rsid w:val="0A435DAC"/>
    <w:rsid w:val="0A540824"/>
    <w:rsid w:val="0A564DDE"/>
    <w:rsid w:val="0A5847B8"/>
    <w:rsid w:val="0A5B187E"/>
    <w:rsid w:val="0A5D2F81"/>
    <w:rsid w:val="0A6F228A"/>
    <w:rsid w:val="0A7C4BD4"/>
    <w:rsid w:val="0A7D421F"/>
    <w:rsid w:val="0A863549"/>
    <w:rsid w:val="0A8F5D00"/>
    <w:rsid w:val="0AAC0660"/>
    <w:rsid w:val="0AAF0151"/>
    <w:rsid w:val="0AB26A47"/>
    <w:rsid w:val="0AB87C7F"/>
    <w:rsid w:val="0AB901A8"/>
    <w:rsid w:val="0ABB6AF5"/>
    <w:rsid w:val="0ABF34B5"/>
    <w:rsid w:val="0AC260D6"/>
    <w:rsid w:val="0AC26B16"/>
    <w:rsid w:val="0AC27E84"/>
    <w:rsid w:val="0AD01913"/>
    <w:rsid w:val="0AD025A1"/>
    <w:rsid w:val="0AD55E09"/>
    <w:rsid w:val="0AD8531C"/>
    <w:rsid w:val="0ADE5666"/>
    <w:rsid w:val="0AE7456D"/>
    <w:rsid w:val="0AE977B2"/>
    <w:rsid w:val="0AEC696E"/>
    <w:rsid w:val="0AEE2877"/>
    <w:rsid w:val="0AF5789D"/>
    <w:rsid w:val="0AFD44E7"/>
    <w:rsid w:val="0B065290"/>
    <w:rsid w:val="0B0B182B"/>
    <w:rsid w:val="0B112BB9"/>
    <w:rsid w:val="0B1B1342"/>
    <w:rsid w:val="0B1F199F"/>
    <w:rsid w:val="0B212DFC"/>
    <w:rsid w:val="0B3133D7"/>
    <w:rsid w:val="0B3D05CB"/>
    <w:rsid w:val="0B3D575C"/>
    <w:rsid w:val="0B407F54"/>
    <w:rsid w:val="0B444D3D"/>
    <w:rsid w:val="0B4A50B1"/>
    <w:rsid w:val="0B4B1C27"/>
    <w:rsid w:val="0B4F3C3B"/>
    <w:rsid w:val="0B534F80"/>
    <w:rsid w:val="0B5B07CB"/>
    <w:rsid w:val="0B662F05"/>
    <w:rsid w:val="0B810978"/>
    <w:rsid w:val="0B892750"/>
    <w:rsid w:val="0B987A3C"/>
    <w:rsid w:val="0B9A2355"/>
    <w:rsid w:val="0B9C06D5"/>
    <w:rsid w:val="0B9D07CF"/>
    <w:rsid w:val="0B9E269F"/>
    <w:rsid w:val="0BB04180"/>
    <w:rsid w:val="0BB447B7"/>
    <w:rsid w:val="0BB579E9"/>
    <w:rsid w:val="0BB637B4"/>
    <w:rsid w:val="0BBA4FFF"/>
    <w:rsid w:val="0BBC48D3"/>
    <w:rsid w:val="0BBC6B70"/>
    <w:rsid w:val="0BC00E84"/>
    <w:rsid w:val="0BC0418D"/>
    <w:rsid w:val="0BC1013B"/>
    <w:rsid w:val="0BC32B6F"/>
    <w:rsid w:val="0BC47C2C"/>
    <w:rsid w:val="0BCE4606"/>
    <w:rsid w:val="0BD01817"/>
    <w:rsid w:val="0BD72466"/>
    <w:rsid w:val="0BD74824"/>
    <w:rsid w:val="0BDC4F75"/>
    <w:rsid w:val="0BE40B36"/>
    <w:rsid w:val="0BE5379A"/>
    <w:rsid w:val="0BF56037"/>
    <w:rsid w:val="0BFA53FB"/>
    <w:rsid w:val="0BFF572B"/>
    <w:rsid w:val="0C0033B9"/>
    <w:rsid w:val="0C02409E"/>
    <w:rsid w:val="0C083FBC"/>
    <w:rsid w:val="0C0F37FF"/>
    <w:rsid w:val="0C14470F"/>
    <w:rsid w:val="0C1F363C"/>
    <w:rsid w:val="0C2E76CB"/>
    <w:rsid w:val="0C336D77"/>
    <w:rsid w:val="0C4912FA"/>
    <w:rsid w:val="0C4F10DB"/>
    <w:rsid w:val="0C4F391A"/>
    <w:rsid w:val="0C4F3999"/>
    <w:rsid w:val="0C5C64E1"/>
    <w:rsid w:val="0C65576F"/>
    <w:rsid w:val="0C6A07D3"/>
    <w:rsid w:val="0C6F1945"/>
    <w:rsid w:val="0C764B54"/>
    <w:rsid w:val="0C887F8F"/>
    <w:rsid w:val="0C8B6BB2"/>
    <w:rsid w:val="0C917B0E"/>
    <w:rsid w:val="0C994C14"/>
    <w:rsid w:val="0C9F66CF"/>
    <w:rsid w:val="0CA05FA3"/>
    <w:rsid w:val="0CA40743"/>
    <w:rsid w:val="0CA830A9"/>
    <w:rsid w:val="0CA900F3"/>
    <w:rsid w:val="0CA93CBE"/>
    <w:rsid w:val="0CB24DFF"/>
    <w:rsid w:val="0CB57365"/>
    <w:rsid w:val="0CB8278F"/>
    <w:rsid w:val="0CB9317E"/>
    <w:rsid w:val="0CB96F03"/>
    <w:rsid w:val="0CBC6E32"/>
    <w:rsid w:val="0CC24023"/>
    <w:rsid w:val="0CC420F6"/>
    <w:rsid w:val="0CC46135"/>
    <w:rsid w:val="0CC90001"/>
    <w:rsid w:val="0CCE0D62"/>
    <w:rsid w:val="0CD312D0"/>
    <w:rsid w:val="0CD67C16"/>
    <w:rsid w:val="0CD70950"/>
    <w:rsid w:val="0CDC2BC2"/>
    <w:rsid w:val="0CE146D8"/>
    <w:rsid w:val="0CE80069"/>
    <w:rsid w:val="0CEC568C"/>
    <w:rsid w:val="0CF02F49"/>
    <w:rsid w:val="0CF566B5"/>
    <w:rsid w:val="0CF75E98"/>
    <w:rsid w:val="0D026C5D"/>
    <w:rsid w:val="0D035D91"/>
    <w:rsid w:val="0D0512FE"/>
    <w:rsid w:val="0D0522AA"/>
    <w:rsid w:val="0D187041"/>
    <w:rsid w:val="0D1C5E41"/>
    <w:rsid w:val="0D2F780E"/>
    <w:rsid w:val="0D3953B3"/>
    <w:rsid w:val="0D3A1F53"/>
    <w:rsid w:val="0D3E0D03"/>
    <w:rsid w:val="0D407D87"/>
    <w:rsid w:val="0D493F73"/>
    <w:rsid w:val="0D4D6A91"/>
    <w:rsid w:val="0D531267"/>
    <w:rsid w:val="0D5A43A4"/>
    <w:rsid w:val="0D5C636E"/>
    <w:rsid w:val="0D71259C"/>
    <w:rsid w:val="0D767C8F"/>
    <w:rsid w:val="0D786F20"/>
    <w:rsid w:val="0D7C1107"/>
    <w:rsid w:val="0D817B82"/>
    <w:rsid w:val="0D821B4C"/>
    <w:rsid w:val="0D8B0A01"/>
    <w:rsid w:val="0D913B3D"/>
    <w:rsid w:val="0D917030"/>
    <w:rsid w:val="0D92163A"/>
    <w:rsid w:val="0D921D8F"/>
    <w:rsid w:val="0D927468"/>
    <w:rsid w:val="0D933D59"/>
    <w:rsid w:val="0DA13714"/>
    <w:rsid w:val="0DAD4E1B"/>
    <w:rsid w:val="0DB461AA"/>
    <w:rsid w:val="0DC72DAB"/>
    <w:rsid w:val="0DC7755F"/>
    <w:rsid w:val="0DCE6B40"/>
    <w:rsid w:val="0DDE4FD5"/>
    <w:rsid w:val="0DE545B5"/>
    <w:rsid w:val="0DE62A44"/>
    <w:rsid w:val="0DE966DB"/>
    <w:rsid w:val="0DEA33C2"/>
    <w:rsid w:val="0DEC5508"/>
    <w:rsid w:val="0DEE4A1D"/>
    <w:rsid w:val="0DF540CC"/>
    <w:rsid w:val="0DFC36AD"/>
    <w:rsid w:val="0DFD79DF"/>
    <w:rsid w:val="0E146C48"/>
    <w:rsid w:val="0E162F93"/>
    <w:rsid w:val="0E176739"/>
    <w:rsid w:val="0E1924B1"/>
    <w:rsid w:val="0E230C39"/>
    <w:rsid w:val="0E2E6AF4"/>
    <w:rsid w:val="0E3161C8"/>
    <w:rsid w:val="0E3E5A73"/>
    <w:rsid w:val="0E4017EB"/>
    <w:rsid w:val="0E425FEA"/>
    <w:rsid w:val="0E440BB0"/>
    <w:rsid w:val="0E652D78"/>
    <w:rsid w:val="0E664FCA"/>
    <w:rsid w:val="0E682AF0"/>
    <w:rsid w:val="0E697FB4"/>
    <w:rsid w:val="0E745939"/>
    <w:rsid w:val="0E7B053D"/>
    <w:rsid w:val="0E8548DB"/>
    <w:rsid w:val="0E8611C8"/>
    <w:rsid w:val="0E8D1A19"/>
    <w:rsid w:val="0E8D60E7"/>
    <w:rsid w:val="0E8D7100"/>
    <w:rsid w:val="0E912047"/>
    <w:rsid w:val="0E941B37"/>
    <w:rsid w:val="0E9C2B62"/>
    <w:rsid w:val="0EAD7DEE"/>
    <w:rsid w:val="0EAF4BC3"/>
    <w:rsid w:val="0EB8482F"/>
    <w:rsid w:val="0EC35F79"/>
    <w:rsid w:val="0ECA566D"/>
    <w:rsid w:val="0ED32660"/>
    <w:rsid w:val="0EDC5F5C"/>
    <w:rsid w:val="0EE65071"/>
    <w:rsid w:val="0EE71F58"/>
    <w:rsid w:val="0EED1247"/>
    <w:rsid w:val="0F052A35"/>
    <w:rsid w:val="0F056591"/>
    <w:rsid w:val="0F094557"/>
    <w:rsid w:val="0F0D5446"/>
    <w:rsid w:val="0F0E7B3C"/>
    <w:rsid w:val="0F2D4C17"/>
    <w:rsid w:val="0F3375A2"/>
    <w:rsid w:val="0F47603E"/>
    <w:rsid w:val="0F5117D6"/>
    <w:rsid w:val="0F515C7A"/>
    <w:rsid w:val="0F56503F"/>
    <w:rsid w:val="0F566DED"/>
    <w:rsid w:val="0F5F2145"/>
    <w:rsid w:val="0F6E7282"/>
    <w:rsid w:val="0F70288C"/>
    <w:rsid w:val="0F7162B4"/>
    <w:rsid w:val="0F725DE2"/>
    <w:rsid w:val="0F735BF1"/>
    <w:rsid w:val="0F7768DD"/>
    <w:rsid w:val="0F841BAC"/>
    <w:rsid w:val="0F84430E"/>
    <w:rsid w:val="0F8611CB"/>
    <w:rsid w:val="0F864741"/>
    <w:rsid w:val="0F8971C2"/>
    <w:rsid w:val="0F933B9D"/>
    <w:rsid w:val="0F983A4B"/>
    <w:rsid w:val="0FA47E54"/>
    <w:rsid w:val="0FA540F2"/>
    <w:rsid w:val="0FB232E1"/>
    <w:rsid w:val="0FBD50BE"/>
    <w:rsid w:val="0FC075F1"/>
    <w:rsid w:val="0FC11AFA"/>
    <w:rsid w:val="0FC21AA0"/>
    <w:rsid w:val="0FC41113"/>
    <w:rsid w:val="0FD02952"/>
    <w:rsid w:val="0FEB721C"/>
    <w:rsid w:val="1005731A"/>
    <w:rsid w:val="10141182"/>
    <w:rsid w:val="101A1275"/>
    <w:rsid w:val="101A42BE"/>
    <w:rsid w:val="101C0036"/>
    <w:rsid w:val="102420F0"/>
    <w:rsid w:val="102A464C"/>
    <w:rsid w:val="10354C54"/>
    <w:rsid w:val="10354D9D"/>
    <w:rsid w:val="10374E70"/>
    <w:rsid w:val="1039626D"/>
    <w:rsid w:val="104D6442"/>
    <w:rsid w:val="10526635"/>
    <w:rsid w:val="10616161"/>
    <w:rsid w:val="1068278B"/>
    <w:rsid w:val="106A0DA2"/>
    <w:rsid w:val="106A2B50"/>
    <w:rsid w:val="106B68C8"/>
    <w:rsid w:val="10812E51"/>
    <w:rsid w:val="1081433D"/>
    <w:rsid w:val="10863702"/>
    <w:rsid w:val="10945E1E"/>
    <w:rsid w:val="109A2E61"/>
    <w:rsid w:val="109B53FF"/>
    <w:rsid w:val="10AB3168"/>
    <w:rsid w:val="10BC5375"/>
    <w:rsid w:val="10CB7366"/>
    <w:rsid w:val="10DD77C5"/>
    <w:rsid w:val="10E054B8"/>
    <w:rsid w:val="10E70644"/>
    <w:rsid w:val="10EC52D4"/>
    <w:rsid w:val="10EC7A09"/>
    <w:rsid w:val="10F2670D"/>
    <w:rsid w:val="10F36003"/>
    <w:rsid w:val="10F57710"/>
    <w:rsid w:val="10FD1C16"/>
    <w:rsid w:val="110034B4"/>
    <w:rsid w:val="11014418"/>
    <w:rsid w:val="111156C1"/>
    <w:rsid w:val="11270A41"/>
    <w:rsid w:val="112B04DB"/>
    <w:rsid w:val="113066C1"/>
    <w:rsid w:val="113118BF"/>
    <w:rsid w:val="1143150A"/>
    <w:rsid w:val="11464246"/>
    <w:rsid w:val="11522149"/>
    <w:rsid w:val="115777AD"/>
    <w:rsid w:val="116F4196"/>
    <w:rsid w:val="117C31CF"/>
    <w:rsid w:val="118F65E6"/>
    <w:rsid w:val="1191235E"/>
    <w:rsid w:val="119B4F8B"/>
    <w:rsid w:val="11A943E1"/>
    <w:rsid w:val="11AA3A84"/>
    <w:rsid w:val="11B132E1"/>
    <w:rsid w:val="11B13EA2"/>
    <w:rsid w:val="11B740BC"/>
    <w:rsid w:val="11B832B3"/>
    <w:rsid w:val="11B83D8F"/>
    <w:rsid w:val="11BB3757"/>
    <w:rsid w:val="11BB524B"/>
    <w:rsid w:val="11C269BB"/>
    <w:rsid w:val="11D861DF"/>
    <w:rsid w:val="11D949F0"/>
    <w:rsid w:val="11F320DD"/>
    <w:rsid w:val="11F36B75"/>
    <w:rsid w:val="11F8418B"/>
    <w:rsid w:val="12046FD4"/>
    <w:rsid w:val="120627E3"/>
    <w:rsid w:val="1209283C"/>
    <w:rsid w:val="120B3EBE"/>
    <w:rsid w:val="12110A2F"/>
    <w:rsid w:val="12115144"/>
    <w:rsid w:val="12122331"/>
    <w:rsid w:val="121511E1"/>
    <w:rsid w:val="121A194A"/>
    <w:rsid w:val="121E62E8"/>
    <w:rsid w:val="12294659"/>
    <w:rsid w:val="122E2022"/>
    <w:rsid w:val="122E4CED"/>
    <w:rsid w:val="122E5DFF"/>
    <w:rsid w:val="12324A1C"/>
    <w:rsid w:val="12330421"/>
    <w:rsid w:val="123743A0"/>
    <w:rsid w:val="123E5365"/>
    <w:rsid w:val="12484349"/>
    <w:rsid w:val="124F64A1"/>
    <w:rsid w:val="125C00AA"/>
    <w:rsid w:val="125E320E"/>
    <w:rsid w:val="12635AA8"/>
    <w:rsid w:val="12636D65"/>
    <w:rsid w:val="12664924"/>
    <w:rsid w:val="126C48BF"/>
    <w:rsid w:val="127351E2"/>
    <w:rsid w:val="1275376E"/>
    <w:rsid w:val="127756C5"/>
    <w:rsid w:val="12795E40"/>
    <w:rsid w:val="12823533"/>
    <w:rsid w:val="1282535E"/>
    <w:rsid w:val="12851DEB"/>
    <w:rsid w:val="128705DA"/>
    <w:rsid w:val="128D521B"/>
    <w:rsid w:val="12902616"/>
    <w:rsid w:val="12906602"/>
    <w:rsid w:val="129374A2"/>
    <w:rsid w:val="12940358"/>
    <w:rsid w:val="129A3715"/>
    <w:rsid w:val="129E2F84"/>
    <w:rsid w:val="12A3059B"/>
    <w:rsid w:val="12A84E8F"/>
    <w:rsid w:val="12B10F0A"/>
    <w:rsid w:val="12B127CE"/>
    <w:rsid w:val="12B216E7"/>
    <w:rsid w:val="12B44556"/>
    <w:rsid w:val="12B46304"/>
    <w:rsid w:val="12B91B6C"/>
    <w:rsid w:val="12C63A42"/>
    <w:rsid w:val="12CA1FCB"/>
    <w:rsid w:val="12CD386A"/>
    <w:rsid w:val="12D9220E"/>
    <w:rsid w:val="12DE22B5"/>
    <w:rsid w:val="12E16E1E"/>
    <w:rsid w:val="12E666D9"/>
    <w:rsid w:val="12E84200"/>
    <w:rsid w:val="12EC6B21"/>
    <w:rsid w:val="1300779B"/>
    <w:rsid w:val="130F3E82"/>
    <w:rsid w:val="131C53CB"/>
    <w:rsid w:val="13255454"/>
    <w:rsid w:val="13262F2F"/>
    <w:rsid w:val="132F6631"/>
    <w:rsid w:val="133149E8"/>
    <w:rsid w:val="13393EDA"/>
    <w:rsid w:val="133E6103"/>
    <w:rsid w:val="13444CE1"/>
    <w:rsid w:val="13471E82"/>
    <w:rsid w:val="134D2675"/>
    <w:rsid w:val="134E49AB"/>
    <w:rsid w:val="13540978"/>
    <w:rsid w:val="13556FD4"/>
    <w:rsid w:val="1362048E"/>
    <w:rsid w:val="136210A2"/>
    <w:rsid w:val="1364464A"/>
    <w:rsid w:val="13655217"/>
    <w:rsid w:val="136715C8"/>
    <w:rsid w:val="1367270D"/>
    <w:rsid w:val="13741F37"/>
    <w:rsid w:val="137912FC"/>
    <w:rsid w:val="1379754E"/>
    <w:rsid w:val="137F2F58"/>
    <w:rsid w:val="13806B2E"/>
    <w:rsid w:val="138173BA"/>
    <w:rsid w:val="138403CC"/>
    <w:rsid w:val="138A3509"/>
    <w:rsid w:val="138B6022"/>
    <w:rsid w:val="138C0E00"/>
    <w:rsid w:val="138F1954"/>
    <w:rsid w:val="1397740D"/>
    <w:rsid w:val="13982E31"/>
    <w:rsid w:val="139F6FB4"/>
    <w:rsid w:val="13A26AA4"/>
    <w:rsid w:val="13A4281C"/>
    <w:rsid w:val="13AB401E"/>
    <w:rsid w:val="13BB3EE5"/>
    <w:rsid w:val="13C24A51"/>
    <w:rsid w:val="13C42478"/>
    <w:rsid w:val="13C702B9"/>
    <w:rsid w:val="13C91EE5"/>
    <w:rsid w:val="13CB36FC"/>
    <w:rsid w:val="13CC1D73"/>
    <w:rsid w:val="13CE1000"/>
    <w:rsid w:val="13CF12CC"/>
    <w:rsid w:val="13D529D6"/>
    <w:rsid w:val="13D91CFB"/>
    <w:rsid w:val="13E23345"/>
    <w:rsid w:val="13E4439E"/>
    <w:rsid w:val="13E62E35"/>
    <w:rsid w:val="13F434AD"/>
    <w:rsid w:val="13F54E26"/>
    <w:rsid w:val="13FA068E"/>
    <w:rsid w:val="140B331B"/>
    <w:rsid w:val="141271CD"/>
    <w:rsid w:val="141403E2"/>
    <w:rsid w:val="1415616C"/>
    <w:rsid w:val="14171240"/>
    <w:rsid w:val="141C54CA"/>
    <w:rsid w:val="14221993"/>
    <w:rsid w:val="14276FAA"/>
    <w:rsid w:val="142B6028"/>
    <w:rsid w:val="142E20E6"/>
    <w:rsid w:val="143852AB"/>
    <w:rsid w:val="14390699"/>
    <w:rsid w:val="14443580"/>
    <w:rsid w:val="14593607"/>
    <w:rsid w:val="146D03C8"/>
    <w:rsid w:val="146D7A60"/>
    <w:rsid w:val="14757D15"/>
    <w:rsid w:val="14773A8D"/>
    <w:rsid w:val="147F0B94"/>
    <w:rsid w:val="147F6DE6"/>
    <w:rsid w:val="14860174"/>
    <w:rsid w:val="148642F0"/>
    <w:rsid w:val="1486741F"/>
    <w:rsid w:val="14902DA1"/>
    <w:rsid w:val="1493683E"/>
    <w:rsid w:val="149C7709"/>
    <w:rsid w:val="149F3FAA"/>
    <w:rsid w:val="14AC7B1A"/>
    <w:rsid w:val="14AF76CB"/>
    <w:rsid w:val="14B06F9F"/>
    <w:rsid w:val="14BB6070"/>
    <w:rsid w:val="14BC34EF"/>
    <w:rsid w:val="14BE16BC"/>
    <w:rsid w:val="14CF1B1B"/>
    <w:rsid w:val="14D07641"/>
    <w:rsid w:val="14D7452C"/>
    <w:rsid w:val="14D902A4"/>
    <w:rsid w:val="14DC5FE6"/>
    <w:rsid w:val="14E56F92"/>
    <w:rsid w:val="14E804E7"/>
    <w:rsid w:val="14E84592"/>
    <w:rsid w:val="14EF13A7"/>
    <w:rsid w:val="14EF3F6B"/>
    <w:rsid w:val="15002328"/>
    <w:rsid w:val="15051099"/>
    <w:rsid w:val="150B090F"/>
    <w:rsid w:val="150C1C25"/>
    <w:rsid w:val="151948C9"/>
    <w:rsid w:val="151B08BC"/>
    <w:rsid w:val="15206016"/>
    <w:rsid w:val="15210B5F"/>
    <w:rsid w:val="152633C2"/>
    <w:rsid w:val="15273705"/>
    <w:rsid w:val="152E4A94"/>
    <w:rsid w:val="1548367B"/>
    <w:rsid w:val="154A0419"/>
    <w:rsid w:val="154A73F4"/>
    <w:rsid w:val="154D0E1C"/>
    <w:rsid w:val="15510782"/>
    <w:rsid w:val="1554671D"/>
    <w:rsid w:val="1556158D"/>
    <w:rsid w:val="155A4EA8"/>
    <w:rsid w:val="155C1A60"/>
    <w:rsid w:val="15631A96"/>
    <w:rsid w:val="15656456"/>
    <w:rsid w:val="156A7ECA"/>
    <w:rsid w:val="156C55BC"/>
    <w:rsid w:val="156F5B9B"/>
    <w:rsid w:val="15762DD6"/>
    <w:rsid w:val="157E0E4B"/>
    <w:rsid w:val="15800679"/>
    <w:rsid w:val="158069A6"/>
    <w:rsid w:val="158346B4"/>
    <w:rsid w:val="1585667E"/>
    <w:rsid w:val="158B2EC0"/>
    <w:rsid w:val="159B7AD7"/>
    <w:rsid w:val="15A21A5F"/>
    <w:rsid w:val="15A55D63"/>
    <w:rsid w:val="15A9411A"/>
    <w:rsid w:val="15AE384D"/>
    <w:rsid w:val="15B605E5"/>
    <w:rsid w:val="15C72C7C"/>
    <w:rsid w:val="15C8493C"/>
    <w:rsid w:val="15CB5E68"/>
    <w:rsid w:val="15D63BCC"/>
    <w:rsid w:val="15D66983"/>
    <w:rsid w:val="15DB5153"/>
    <w:rsid w:val="15DB629E"/>
    <w:rsid w:val="15E6711C"/>
    <w:rsid w:val="15F03903"/>
    <w:rsid w:val="15F31839"/>
    <w:rsid w:val="160041CF"/>
    <w:rsid w:val="16067070"/>
    <w:rsid w:val="16094BB9"/>
    <w:rsid w:val="160B0931"/>
    <w:rsid w:val="161B669A"/>
    <w:rsid w:val="16222871"/>
    <w:rsid w:val="16273291"/>
    <w:rsid w:val="16283474"/>
    <w:rsid w:val="162D4D4B"/>
    <w:rsid w:val="16337E88"/>
    <w:rsid w:val="163F015F"/>
    <w:rsid w:val="16411730"/>
    <w:rsid w:val="164125A5"/>
    <w:rsid w:val="16461969"/>
    <w:rsid w:val="16461F76"/>
    <w:rsid w:val="1649415B"/>
    <w:rsid w:val="164C42D0"/>
    <w:rsid w:val="164D719B"/>
    <w:rsid w:val="16533DA0"/>
    <w:rsid w:val="165879B7"/>
    <w:rsid w:val="165C118C"/>
    <w:rsid w:val="165D4F05"/>
    <w:rsid w:val="165F6ECF"/>
    <w:rsid w:val="166149F5"/>
    <w:rsid w:val="1666025D"/>
    <w:rsid w:val="166700FF"/>
    <w:rsid w:val="166930D0"/>
    <w:rsid w:val="166938A9"/>
    <w:rsid w:val="16757756"/>
    <w:rsid w:val="16842491"/>
    <w:rsid w:val="16860977"/>
    <w:rsid w:val="169923E1"/>
    <w:rsid w:val="169B669B"/>
    <w:rsid w:val="16A50C99"/>
    <w:rsid w:val="16AD3CCD"/>
    <w:rsid w:val="16B26F6D"/>
    <w:rsid w:val="16BC7E7D"/>
    <w:rsid w:val="16C32C88"/>
    <w:rsid w:val="16C65B18"/>
    <w:rsid w:val="16D03709"/>
    <w:rsid w:val="16DE4297"/>
    <w:rsid w:val="16E40CC8"/>
    <w:rsid w:val="16E82A20"/>
    <w:rsid w:val="16EB2510"/>
    <w:rsid w:val="16EE3769"/>
    <w:rsid w:val="16F21AF1"/>
    <w:rsid w:val="16F37B9A"/>
    <w:rsid w:val="16FC07EE"/>
    <w:rsid w:val="17012AEA"/>
    <w:rsid w:val="17013326"/>
    <w:rsid w:val="17033CFE"/>
    <w:rsid w:val="1703785A"/>
    <w:rsid w:val="17101F77"/>
    <w:rsid w:val="171B154F"/>
    <w:rsid w:val="17230BEA"/>
    <w:rsid w:val="17285AB1"/>
    <w:rsid w:val="172A4DE7"/>
    <w:rsid w:val="172D0D7B"/>
    <w:rsid w:val="1734037F"/>
    <w:rsid w:val="1740460A"/>
    <w:rsid w:val="174165D4"/>
    <w:rsid w:val="174340FA"/>
    <w:rsid w:val="17465999"/>
    <w:rsid w:val="174762AE"/>
    <w:rsid w:val="174C224F"/>
    <w:rsid w:val="175D349E"/>
    <w:rsid w:val="175D4AE9"/>
    <w:rsid w:val="1767428D"/>
    <w:rsid w:val="176B7E7E"/>
    <w:rsid w:val="176C18A3"/>
    <w:rsid w:val="176C3651"/>
    <w:rsid w:val="176D047A"/>
    <w:rsid w:val="177042CB"/>
    <w:rsid w:val="177374F8"/>
    <w:rsid w:val="177735E4"/>
    <w:rsid w:val="177E3384"/>
    <w:rsid w:val="177F4A4C"/>
    <w:rsid w:val="178169D1"/>
    <w:rsid w:val="178C3CF3"/>
    <w:rsid w:val="178E7A6B"/>
    <w:rsid w:val="179207CE"/>
    <w:rsid w:val="179A41CD"/>
    <w:rsid w:val="17A6096F"/>
    <w:rsid w:val="17AF79E2"/>
    <w:rsid w:val="17B5155B"/>
    <w:rsid w:val="17C074F9"/>
    <w:rsid w:val="17D1569D"/>
    <w:rsid w:val="17DE3E7A"/>
    <w:rsid w:val="17E30B5F"/>
    <w:rsid w:val="17E53404"/>
    <w:rsid w:val="17EA27C8"/>
    <w:rsid w:val="17F039B2"/>
    <w:rsid w:val="17F92A0B"/>
    <w:rsid w:val="17FF1AE2"/>
    <w:rsid w:val="17FF44C5"/>
    <w:rsid w:val="18023FB5"/>
    <w:rsid w:val="18055854"/>
    <w:rsid w:val="18090EA0"/>
    <w:rsid w:val="180E797E"/>
    <w:rsid w:val="18253800"/>
    <w:rsid w:val="182C1032"/>
    <w:rsid w:val="182C4B8E"/>
    <w:rsid w:val="182D2239"/>
    <w:rsid w:val="183B4E8A"/>
    <w:rsid w:val="183C4034"/>
    <w:rsid w:val="184E2D57"/>
    <w:rsid w:val="18550589"/>
    <w:rsid w:val="18552337"/>
    <w:rsid w:val="186759DA"/>
    <w:rsid w:val="18683E8A"/>
    <w:rsid w:val="187A1D9E"/>
    <w:rsid w:val="187A49E3"/>
    <w:rsid w:val="187F6930"/>
    <w:rsid w:val="18891FE1"/>
    <w:rsid w:val="188C0EC7"/>
    <w:rsid w:val="188E7529"/>
    <w:rsid w:val="18925339"/>
    <w:rsid w:val="189F35B2"/>
    <w:rsid w:val="18A137CE"/>
    <w:rsid w:val="18A21E2F"/>
    <w:rsid w:val="18A37215"/>
    <w:rsid w:val="18A47075"/>
    <w:rsid w:val="18AE1D93"/>
    <w:rsid w:val="18AF21DF"/>
    <w:rsid w:val="18B03A11"/>
    <w:rsid w:val="18B44918"/>
    <w:rsid w:val="18B9700F"/>
    <w:rsid w:val="18BB2EA9"/>
    <w:rsid w:val="18BF54CB"/>
    <w:rsid w:val="18C02B8E"/>
    <w:rsid w:val="18C64FE3"/>
    <w:rsid w:val="18CA2156"/>
    <w:rsid w:val="18CD697F"/>
    <w:rsid w:val="18D05E62"/>
    <w:rsid w:val="18D205D5"/>
    <w:rsid w:val="18D56FD4"/>
    <w:rsid w:val="18DF42F7"/>
    <w:rsid w:val="18E35B95"/>
    <w:rsid w:val="18EA67EE"/>
    <w:rsid w:val="18ED07C2"/>
    <w:rsid w:val="18F20389"/>
    <w:rsid w:val="18F356AC"/>
    <w:rsid w:val="18F558C8"/>
    <w:rsid w:val="18FE3E16"/>
    <w:rsid w:val="190D676E"/>
    <w:rsid w:val="19102702"/>
    <w:rsid w:val="19157D18"/>
    <w:rsid w:val="191B262F"/>
    <w:rsid w:val="19251180"/>
    <w:rsid w:val="19312479"/>
    <w:rsid w:val="193957B5"/>
    <w:rsid w:val="193A152D"/>
    <w:rsid w:val="193E05E4"/>
    <w:rsid w:val="194871D3"/>
    <w:rsid w:val="194A1770"/>
    <w:rsid w:val="19502AFF"/>
    <w:rsid w:val="19516332"/>
    <w:rsid w:val="195B1BCF"/>
    <w:rsid w:val="195C79E0"/>
    <w:rsid w:val="19677EEA"/>
    <w:rsid w:val="196964A3"/>
    <w:rsid w:val="196C7C35"/>
    <w:rsid w:val="197C7D2A"/>
    <w:rsid w:val="1985052E"/>
    <w:rsid w:val="199C5D44"/>
    <w:rsid w:val="19A54BF8"/>
    <w:rsid w:val="19AA220F"/>
    <w:rsid w:val="19B1359D"/>
    <w:rsid w:val="19B1549C"/>
    <w:rsid w:val="19C57049"/>
    <w:rsid w:val="19C85A81"/>
    <w:rsid w:val="19CA465F"/>
    <w:rsid w:val="19D37748"/>
    <w:rsid w:val="19D97F87"/>
    <w:rsid w:val="19DD1F62"/>
    <w:rsid w:val="19DE2867"/>
    <w:rsid w:val="19DF45AE"/>
    <w:rsid w:val="19E33D6F"/>
    <w:rsid w:val="19E602F5"/>
    <w:rsid w:val="19E805B2"/>
    <w:rsid w:val="19E842F0"/>
    <w:rsid w:val="19F32E99"/>
    <w:rsid w:val="19F33BB6"/>
    <w:rsid w:val="19F76E07"/>
    <w:rsid w:val="19FB0118"/>
    <w:rsid w:val="19FF1F98"/>
    <w:rsid w:val="19FF47A5"/>
    <w:rsid w:val="1A0314E0"/>
    <w:rsid w:val="1A053239"/>
    <w:rsid w:val="1A0D279E"/>
    <w:rsid w:val="1A141B48"/>
    <w:rsid w:val="1A1678A4"/>
    <w:rsid w:val="1A322407"/>
    <w:rsid w:val="1A341A38"/>
    <w:rsid w:val="1A345F7C"/>
    <w:rsid w:val="1A4E34E2"/>
    <w:rsid w:val="1A4E3CEA"/>
    <w:rsid w:val="1A501008"/>
    <w:rsid w:val="1A50725A"/>
    <w:rsid w:val="1A613B56"/>
    <w:rsid w:val="1A642D06"/>
    <w:rsid w:val="1A665596"/>
    <w:rsid w:val="1A6702DA"/>
    <w:rsid w:val="1A693E78"/>
    <w:rsid w:val="1A695BDC"/>
    <w:rsid w:val="1A6A4F91"/>
    <w:rsid w:val="1A6B5E42"/>
    <w:rsid w:val="1A6C7AA7"/>
    <w:rsid w:val="1A6E2721"/>
    <w:rsid w:val="1A76130D"/>
    <w:rsid w:val="1A7B7A17"/>
    <w:rsid w:val="1A7F5449"/>
    <w:rsid w:val="1A832D86"/>
    <w:rsid w:val="1A89451A"/>
    <w:rsid w:val="1A8E7D82"/>
    <w:rsid w:val="1A98216B"/>
    <w:rsid w:val="1A9A162C"/>
    <w:rsid w:val="1A9B20BC"/>
    <w:rsid w:val="1AD05CA5"/>
    <w:rsid w:val="1AD33756"/>
    <w:rsid w:val="1AD734D7"/>
    <w:rsid w:val="1ADA2FC8"/>
    <w:rsid w:val="1AE747FC"/>
    <w:rsid w:val="1AE96D67"/>
    <w:rsid w:val="1AF220BF"/>
    <w:rsid w:val="1AF3341F"/>
    <w:rsid w:val="1AFA077C"/>
    <w:rsid w:val="1AFA6510"/>
    <w:rsid w:val="1AFE54D0"/>
    <w:rsid w:val="1B0060B8"/>
    <w:rsid w:val="1B075110"/>
    <w:rsid w:val="1B154000"/>
    <w:rsid w:val="1B162B24"/>
    <w:rsid w:val="1B1C713C"/>
    <w:rsid w:val="1B2D30F7"/>
    <w:rsid w:val="1B32070E"/>
    <w:rsid w:val="1B3C01E5"/>
    <w:rsid w:val="1B3E5305"/>
    <w:rsid w:val="1B522B5E"/>
    <w:rsid w:val="1B574618"/>
    <w:rsid w:val="1B5E7755"/>
    <w:rsid w:val="1B616D34"/>
    <w:rsid w:val="1B621044"/>
    <w:rsid w:val="1B6823F8"/>
    <w:rsid w:val="1B6D5BEA"/>
    <w:rsid w:val="1B7156DA"/>
    <w:rsid w:val="1B716318"/>
    <w:rsid w:val="1B767316"/>
    <w:rsid w:val="1B7930C6"/>
    <w:rsid w:val="1B811695"/>
    <w:rsid w:val="1B82273A"/>
    <w:rsid w:val="1B912D51"/>
    <w:rsid w:val="1B9211AC"/>
    <w:rsid w:val="1B977D90"/>
    <w:rsid w:val="1B9E2247"/>
    <w:rsid w:val="1B9E43BC"/>
    <w:rsid w:val="1BA57132"/>
    <w:rsid w:val="1BA97566"/>
    <w:rsid w:val="1BB42C2C"/>
    <w:rsid w:val="1BBE1FA1"/>
    <w:rsid w:val="1BC00B5D"/>
    <w:rsid w:val="1BCF1108"/>
    <w:rsid w:val="1BE20386"/>
    <w:rsid w:val="1BE44D0B"/>
    <w:rsid w:val="1BEC6B0F"/>
    <w:rsid w:val="1BF4425B"/>
    <w:rsid w:val="1BF6241E"/>
    <w:rsid w:val="1BF956CF"/>
    <w:rsid w:val="1C0B6DA9"/>
    <w:rsid w:val="1C1F0157"/>
    <w:rsid w:val="1C211A1B"/>
    <w:rsid w:val="1C26503A"/>
    <w:rsid w:val="1C2812FB"/>
    <w:rsid w:val="1C2A7637"/>
    <w:rsid w:val="1C3109C5"/>
    <w:rsid w:val="1C3322C7"/>
    <w:rsid w:val="1C345716"/>
    <w:rsid w:val="1C3A27DC"/>
    <w:rsid w:val="1C4D015E"/>
    <w:rsid w:val="1C566F8A"/>
    <w:rsid w:val="1C6442A6"/>
    <w:rsid w:val="1C787813"/>
    <w:rsid w:val="1C7C7373"/>
    <w:rsid w:val="1C7D00AB"/>
    <w:rsid w:val="1C833F62"/>
    <w:rsid w:val="1C8C6544"/>
    <w:rsid w:val="1C905109"/>
    <w:rsid w:val="1C984EE8"/>
    <w:rsid w:val="1CA05B4B"/>
    <w:rsid w:val="1CA23671"/>
    <w:rsid w:val="1CA473E9"/>
    <w:rsid w:val="1CAE0268"/>
    <w:rsid w:val="1CB00C24"/>
    <w:rsid w:val="1CB258D2"/>
    <w:rsid w:val="1CCC7C58"/>
    <w:rsid w:val="1CCF2131"/>
    <w:rsid w:val="1CD147A6"/>
    <w:rsid w:val="1CD344FB"/>
    <w:rsid w:val="1CD557F5"/>
    <w:rsid w:val="1CD81789"/>
    <w:rsid w:val="1CD91B0E"/>
    <w:rsid w:val="1CDD0B4D"/>
    <w:rsid w:val="1CDE337E"/>
    <w:rsid w:val="1CE75528"/>
    <w:rsid w:val="1CEA59E8"/>
    <w:rsid w:val="1CED26C2"/>
    <w:rsid w:val="1CFA525B"/>
    <w:rsid w:val="1D0460DA"/>
    <w:rsid w:val="1D0C0CA6"/>
    <w:rsid w:val="1D0E0D07"/>
    <w:rsid w:val="1D0E6F59"/>
    <w:rsid w:val="1D104E5D"/>
    <w:rsid w:val="1D163C6B"/>
    <w:rsid w:val="1D2624F4"/>
    <w:rsid w:val="1D2708D8"/>
    <w:rsid w:val="1D425D40"/>
    <w:rsid w:val="1D44387C"/>
    <w:rsid w:val="1D44677E"/>
    <w:rsid w:val="1D491D3F"/>
    <w:rsid w:val="1D50131F"/>
    <w:rsid w:val="1D554B87"/>
    <w:rsid w:val="1D5F5A06"/>
    <w:rsid w:val="1D623E20"/>
    <w:rsid w:val="1D62600D"/>
    <w:rsid w:val="1D660B43"/>
    <w:rsid w:val="1D76242D"/>
    <w:rsid w:val="1D7F39B2"/>
    <w:rsid w:val="1D813A62"/>
    <w:rsid w:val="1D8541AC"/>
    <w:rsid w:val="1D8B05A9"/>
    <w:rsid w:val="1D9B4C90"/>
    <w:rsid w:val="1D9C27B6"/>
    <w:rsid w:val="1D9E208B"/>
    <w:rsid w:val="1DAB77C5"/>
    <w:rsid w:val="1DAD49C3"/>
    <w:rsid w:val="1DAF2726"/>
    <w:rsid w:val="1DB91FA1"/>
    <w:rsid w:val="1DD7388B"/>
    <w:rsid w:val="1DE303E5"/>
    <w:rsid w:val="1DE67BE0"/>
    <w:rsid w:val="1DE91FF9"/>
    <w:rsid w:val="1DF61EC7"/>
    <w:rsid w:val="1DF8406B"/>
    <w:rsid w:val="1DF84787"/>
    <w:rsid w:val="1DFE6FCD"/>
    <w:rsid w:val="1E075062"/>
    <w:rsid w:val="1E182ECA"/>
    <w:rsid w:val="1E1A414E"/>
    <w:rsid w:val="1E1E3D8B"/>
    <w:rsid w:val="1E217C8F"/>
    <w:rsid w:val="1E257E03"/>
    <w:rsid w:val="1E2D154A"/>
    <w:rsid w:val="1E2D1660"/>
    <w:rsid w:val="1E2F53D8"/>
    <w:rsid w:val="1E340C41"/>
    <w:rsid w:val="1E42510C"/>
    <w:rsid w:val="1E426EBA"/>
    <w:rsid w:val="1E460626"/>
    <w:rsid w:val="1E5161AE"/>
    <w:rsid w:val="1E527903"/>
    <w:rsid w:val="1E566E09"/>
    <w:rsid w:val="1E5B3D26"/>
    <w:rsid w:val="1E5C100C"/>
    <w:rsid w:val="1E6A69C7"/>
    <w:rsid w:val="1E7B025D"/>
    <w:rsid w:val="1E7B061E"/>
    <w:rsid w:val="1E7C6570"/>
    <w:rsid w:val="1E81746D"/>
    <w:rsid w:val="1E88226D"/>
    <w:rsid w:val="1E915B5B"/>
    <w:rsid w:val="1E9E60BA"/>
    <w:rsid w:val="1EA15ED6"/>
    <w:rsid w:val="1EA23DFC"/>
    <w:rsid w:val="1EA3498E"/>
    <w:rsid w:val="1EAB4489"/>
    <w:rsid w:val="1EAC6A29"/>
    <w:rsid w:val="1EB12D29"/>
    <w:rsid w:val="1EB51D82"/>
    <w:rsid w:val="1EB53B30"/>
    <w:rsid w:val="1EC03875"/>
    <w:rsid w:val="1EC63DEE"/>
    <w:rsid w:val="1EC84368"/>
    <w:rsid w:val="1EE10507"/>
    <w:rsid w:val="1EE1145B"/>
    <w:rsid w:val="1EE44415"/>
    <w:rsid w:val="1EE47D48"/>
    <w:rsid w:val="1EE84F19"/>
    <w:rsid w:val="1EE94D7E"/>
    <w:rsid w:val="1EED151B"/>
    <w:rsid w:val="1EF67CA4"/>
    <w:rsid w:val="1EFD1033"/>
    <w:rsid w:val="1EFF1D70"/>
    <w:rsid w:val="1F073C5F"/>
    <w:rsid w:val="1F0A2C83"/>
    <w:rsid w:val="1F1F2FAD"/>
    <w:rsid w:val="1F206871"/>
    <w:rsid w:val="1F226B81"/>
    <w:rsid w:val="1F33268E"/>
    <w:rsid w:val="1F332CFD"/>
    <w:rsid w:val="1F3C0F4E"/>
    <w:rsid w:val="1F3C5FFF"/>
    <w:rsid w:val="1F412686"/>
    <w:rsid w:val="1F4849A4"/>
    <w:rsid w:val="1F4A2DD7"/>
    <w:rsid w:val="1F5F658A"/>
    <w:rsid w:val="1F615915"/>
    <w:rsid w:val="1F66307C"/>
    <w:rsid w:val="1F6D7F66"/>
    <w:rsid w:val="1F6F2E53"/>
    <w:rsid w:val="1F707A57"/>
    <w:rsid w:val="1F737547"/>
    <w:rsid w:val="1F770DE5"/>
    <w:rsid w:val="1F90180E"/>
    <w:rsid w:val="1F926BAB"/>
    <w:rsid w:val="1F9279CD"/>
    <w:rsid w:val="1F9740D3"/>
    <w:rsid w:val="1F9E1039"/>
    <w:rsid w:val="1FA45952"/>
    <w:rsid w:val="1FA912D2"/>
    <w:rsid w:val="1FA92F69"/>
    <w:rsid w:val="1FAB7313"/>
    <w:rsid w:val="1FBA29E2"/>
    <w:rsid w:val="1FBF2ACF"/>
    <w:rsid w:val="1FBF705D"/>
    <w:rsid w:val="1FC3402A"/>
    <w:rsid w:val="1FCA73D0"/>
    <w:rsid w:val="1FCB1131"/>
    <w:rsid w:val="1FD47D67"/>
    <w:rsid w:val="1FD955FC"/>
    <w:rsid w:val="1FDB4292"/>
    <w:rsid w:val="1FDD0A21"/>
    <w:rsid w:val="1FE062A5"/>
    <w:rsid w:val="1FE97E8D"/>
    <w:rsid w:val="1FED2246"/>
    <w:rsid w:val="1FF70178"/>
    <w:rsid w:val="1FFC3A91"/>
    <w:rsid w:val="20000DDB"/>
    <w:rsid w:val="200A0324"/>
    <w:rsid w:val="201A57C5"/>
    <w:rsid w:val="201C198C"/>
    <w:rsid w:val="202645B9"/>
    <w:rsid w:val="203C0852"/>
    <w:rsid w:val="20452C91"/>
    <w:rsid w:val="204C78C3"/>
    <w:rsid w:val="20532A5D"/>
    <w:rsid w:val="20547378"/>
    <w:rsid w:val="205660BD"/>
    <w:rsid w:val="205729C5"/>
    <w:rsid w:val="20580C17"/>
    <w:rsid w:val="20631BE8"/>
    <w:rsid w:val="20653333"/>
    <w:rsid w:val="20654D8C"/>
    <w:rsid w:val="2072693A"/>
    <w:rsid w:val="20733E00"/>
    <w:rsid w:val="207B4905"/>
    <w:rsid w:val="207F19D9"/>
    <w:rsid w:val="20827A42"/>
    <w:rsid w:val="2091237A"/>
    <w:rsid w:val="20971AA8"/>
    <w:rsid w:val="209D3610"/>
    <w:rsid w:val="209E5928"/>
    <w:rsid w:val="20A34947"/>
    <w:rsid w:val="20A60F76"/>
    <w:rsid w:val="20A6399A"/>
    <w:rsid w:val="20B147CB"/>
    <w:rsid w:val="20B45854"/>
    <w:rsid w:val="20D12777"/>
    <w:rsid w:val="20D33EC0"/>
    <w:rsid w:val="20D459DD"/>
    <w:rsid w:val="20DE431E"/>
    <w:rsid w:val="20EC77BF"/>
    <w:rsid w:val="20FA1D70"/>
    <w:rsid w:val="20FF72FE"/>
    <w:rsid w:val="2105675C"/>
    <w:rsid w:val="21091F11"/>
    <w:rsid w:val="210A14E5"/>
    <w:rsid w:val="21196B27"/>
    <w:rsid w:val="211E3A77"/>
    <w:rsid w:val="2120301B"/>
    <w:rsid w:val="212705E9"/>
    <w:rsid w:val="21296906"/>
    <w:rsid w:val="21333BA7"/>
    <w:rsid w:val="213D4EDE"/>
    <w:rsid w:val="21400970"/>
    <w:rsid w:val="21423675"/>
    <w:rsid w:val="21452556"/>
    <w:rsid w:val="21496A60"/>
    <w:rsid w:val="214B2529"/>
    <w:rsid w:val="214E651F"/>
    <w:rsid w:val="21515F0F"/>
    <w:rsid w:val="21562C7C"/>
    <w:rsid w:val="21612147"/>
    <w:rsid w:val="21647C29"/>
    <w:rsid w:val="21676C37"/>
    <w:rsid w:val="216D7864"/>
    <w:rsid w:val="21731A80"/>
    <w:rsid w:val="217E28FF"/>
    <w:rsid w:val="21837F15"/>
    <w:rsid w:val="2186530F"/>
    <w:rsid w:val="21867A05"/>
    <w:rsid w:val="218E0668"/>
    <w:rsid w:val="219A4B6C"/>
    <w:rsid w:val="21AB2FC8"/>
    <w:rsid w:val="21BB7DC2"/>
    <w:rsid w:val="21BC6F83"/>
    <w:rsid w:val="21C115B0"/>
    <w:rsid w:val="21C11732"/>
    <w:rsid w:val="21C521FA"/>
    <w:rsid w:val="21C66054"/>
    <w:rsid w:val="21C717DF"/>
    <w:rsid w:val="21CA4535"/>
    <w:rsid w:val="21D57C13"/>
    <w:rsid w:val="21D73DBD"/>
    <w:rsid w:val="21D84DFF"/>
    <w:rsid w:val="21D96C95"/>
    <w:rsid w:val="21E12E8E"/>
    <w:rsid w:val="21E659B9"/>
    <w:rsid w:val="21E91230"/>
    <w:rsid w:val="21F726B1"/>
    <w:rsid w:val="21FC16F6"/>
    <w:rsid w:val="21FC4093"/>
    <w:rsid w:val="21FE759C"/>
    <w:rsid w:val="22010E3A"/>
    <w:rsid w:val="221462AC"/>
    <w:rsid w:val="221A14C0"/>
    <w:rsid w:val="221D52C2"/>
    <w:rsid w:val="222A3421"/>
    <w:rsid w:val="223F6C96"/>
    <w:rsid w:val="2245341D"/>
    <w:rsid w:val="224A458F"/>
    <w:rsid w:val="22525D60"/>
    <w:rsid w:val="2260764C"/>
    <w:rsid w:val="226C6BFB"/>
    <w:rsid w:val="22717D6E"/>
    <w:rsid w:val="2273177B"/>
    <w:rsid w:val="227B299A"/>
    <w:rsid w:val="22837AA1"/>
    <w:rsid w:val="2287107F"/>
    <w:rsid w:val="22910410"/>
    <w:rsid w:val="22A07898"/>
    <w:rsid w:val="22AB3233"/>
    <w:rsid w:val="22AE0FC2"/>
    <w:rsid w:val="22B54D34"/>
    <w:rsid w:val="22BF31CF"/>
    <w:rsid w:val="22C5455D"/>
    <w:rsid w:val="22C95DFC"/>
    <w:rsid w:val="22D03DCA"/>
    <w:rsid w:val="22D24584"/>
    <w:rsid w:val="22D95913"/>
    <w:rsid w:val="22DA231A"/>
    <w:rsid w:val="22E70030"/>
    <w:rsid w:val="22EA2C82"/>
    <w:rsid w:val="22ED46E5"/>
    <w:rsid w:val="22EE5862"/>
    <w:rsid w:val="22F015DA"/>
    <w:rsid w:val="22F369D5"/>
    <w:rsid w:val="22F575B7"/>
    <w:rsid w:val="22F80095"/>
    <w:rsid w:val="22FB3ADB"/>
    <w:rsid w:val="23005537"/>
    <w:rsid w:val="230E3B7B"/>
    <w:rsid w:val="23103A2A"/>
    <w:rsid w:val="231110D7"/>
    <w:rsid w:val="23172816"/>
    <w:rsid w:val="231921B3"/>
    <w:rsid w:val="2329689A"/>
    <w:rsid w:val="233139A1"/>
    <w:rsid w:val="23333DD5"/>
    <w:rsid w:val="233D40F4"/>
    <w:rsid w:val="2342795C"/>
    <w:rsid w:val="23473CA7"/>
    <w:rsid w:val="234D3926"/>
    <w:rsid w:val="23503E27"/>
    <w:rsid w:val="235A2EF8"/>
    <w:rsid w:val="23621DAC"/>
    <w:rsid w:val="236458AE"/>
    <w:rsid w:val="236478D2"/>
    <w:rsid w:val="23654640"/>
    <w:rsid w:val="236B6EB3"/>
    <w:rsid w:val="236C6787"/>
    <w:rsid w:val="237044C9"/>
    <w:rsid w:val="237815D0"/>
    <w:rsid w:val="237A13B1"/>
    <w:rsid w:val="237C6A67"/>
    <w:rsid w:val="23856B18"/>
    <w:rsid w:val="238C68FE"/>
    <w:rsid w:val="239E058B"/>
    <w:rsid w:val="23B27F31"/>
    <w:rsid w:val="23B43C6C"/>
    <w:rsid w:val="23B720F8"/>
    <w:rsid w:val="23BA3996"/>
    <w:rsid w:val="23C01644"/>
    <w:rsid w:val="23C465C3"/>
    <w:rsid w:val="23C84D29"/>
    <w:rsid w:val="23C95987"/>
    <w:rsid w:val="23CA0463"/>
    <w:rsid w:val="23D63116"/>
    <w:rsid w:val="23D65287"/>
    <w:rsid w:val="23D74548"/>
    <w:rsid w:val="23E43E83"/>
    <w:rsid w:val="23EB1DA2"/>
    <w:rsid w:val="23EB3B50"/>
    <w:rsid w:val="23F90EA7"/>
    <w:rsid w:val="23FA0466"/>
    <w:rsid w:val="24007FDC"/>
    <w:rsid w:val="24092228"/>
    <w:rsid w:val="24262DDA"/>
    <w:rsid w:val="242A0B1C"/>
    <w:rsid w:val="242D4168"/>
    <w:rsid w:val="24311195"/>
    <w:rsid w:val="2432177F"/>
    <w:rsid w:val="24367BB2"/>
    <w:rsid w:val="243F5D7C"/>
    <w:rsid w:val="244460E4"/>
    <w:rsid w:val="24482D50"/>
    <w:rsid w:val="24580960"/>
    <w:rsid w:val="246D7F4A"/>
    <w:rsid w:val="2470330F"/>
    <w:rsid w:val="24743B45"/>
    <w:rsid w:val="24757BD4"/>
    <w:rsid w:val="24783A57"/>
    <w:rsid w:val="247931D8"/>
    <w:rsid w:val="247E6188"/>
    <w:rsid w:val="247F526C"/>
    <w:rsid w:val="24873C36"/>
    <w:rsid w:val="248941F8"/>
    <w:rsid w:val="249E2E2D"/>
    <w:rsid w:val="24AA1A26"/>
    <w:rsid w:val="24AB48BC"/>
    <w:rsid w:val="24B4583E"/>
    <w:rsid w:val="24B46637"/>
    <w:rsid w:val="24B670FC"/>
    <w:rsid w:val="24C148B0"/>
    <w:rsid w:val="24C74DF4"/>
    <w:rsid w:val="24CF5D36"/>
    <w:rsid w:val="24D57C8A"/>
    <w:rsid w:val="24D740D4"/>
    <w:rsid w:val="24E0567E"/>
    <w:rsid w:val="24E567F1"/>
    <w:rsid w:val="24E944A0"/>
    <w:rsid w:val="24EA3BC4"/>
    <w:rsid w:val="24EC0853"/>
    <w:rsid w:val="24F317A3"/>
    <w:rsid w:val="24F91792"/>
    <w:rsid w:val="24FD2648"/>
    <w:rsid w:val="24FD7FDE"/>
    <w:rsid w:val="24FE5B05"/>
    <w:rsid w:val="24FF6CC4"/>
    <w:rsid w:val="25072C0B"/>
    <w:rsid w:val="25113A8A"/>
    <w:rsid w:val="25162E98"/>
    <w:rsid w:val="251F61A7"/>
    <w:rsid w:val="252736CE"/>
    <w:rsid w:val="25310D60"/>
    <w:rsid w:val="253908EB"/>
    <w:rsid w:val="253A2EBB"/>
    <w:rsid w:val="25421E95"/>
    <w:rsid w:val="254554E2"/>
    <w:rsid w:val="25463ED6"/>
    <w:rsid w:val="25472F43"/>
    <w:rsid w:val="254B6F9C"/>
    <w:rsid w:val="254E083A"/>
    <w:rsid w:val="254E1D1A"/>
    <w:rsid w:val="255728C6"/>
    <w:rsid w:val="25577CF1"/>
    <w:rsid w:val="25583467"/>
    <w:rsid w:val="256C2BA2"/>
    <w:rsid w:val="256F3379"/>
    <w:rsid w:val="258219D7"/>
    <w:rsid w:val="25832DFE"/>
    <w:rsid w:val="258D49AC"/>
    <w:rsid w:val="2592103D"/>
    <w:rsid w:val="259B7F73"/>
    <w:rsid w:val="25A0096A"/>
    <w:rsid w:val="25A05D75"/>
    <w:rsid w:val="25A22934"/>
    <w:rsid w:val="25BC5F25"/>
    <w:rsid w:val="25BF7042"/>
    <w:rsid w:val="25C603D0"/>
    <w:rsid w:val="25CB1E8B"/>
    <w:rsid w:val="25CE6675"/>
    <w:rsid w:val="25D113FB"/>
    <w:rsid w:val="25D32AED"/>
    <w:rsid w:val="25E1520A"/>
    <w:rsid w:val="25E44CFA"/>
    <w:rsid w:val="25E816B9"/>
    <w:rsid w:val="25E96AE8"/>
    <w:rsid w:val="25F07F49"/>
    <w:rsid w:val="25F5515A"/>
    <w:rsid w:val="25FD2E17"/>
    <w:rsid w:val="26064C71"/>
    <w:rsid w:val="260E5C0A"/>
    <w:rsid w:val="261206FC"/>
    <w:rsid w:val="26170C2C"/>
    <w:rsid w:val="261A4BC0"/>
    <w:rsid w:val="261B0155"/>
    <w:rsid w:val="26215F4F"/>
    <w:rsid w:val="26223DC7"/>
    <w:rsid w:val="26236E22"/>
    <w:rsid w:val="2627647B"/>
    <w:rsid w:val="2627651F"/>
    <w:rsid w:val="263A491A"/>
    <w:rsid w:val="263C02F1"/>
    <w:rsid w:val="26403C36"/>
    <w:rsid w:val="264163E8"/>
    <w:rsid w:val="26571208"/>
    <w:rsid w:val="26591245"/>
    <w:rsid w:val="26591E30"/>
    <w:rsid w:val="2660355C"/>
    <w:rsid w:val="2661459D"/>
    <w:rsid w:val="266D3973"/>
    <w:rsid w:val="2687217B"/>
    <w:rsid w:val="268B638D"/>
    <w:rsid w:val="2691293C"/>
    <w:rsid w:val="26993D37"/>
    <w:rsid w:val="269A40EC"/>
    <w:rsid w:val="269C7383"/>
    <w:rsid w:val="269E146B"/>
    <w:rsid w:val="26A03363"/>
    <w:rsid w:val="26A53187"/>
    <w:rsid w:val="26B84685"/>
    <w:rsid w:val="26C2328E"/>
    <w:rsid w:val="26CA0394"/>
    <w:rsid w:val="26CD3408"/>
    <w:rsid w:val="26D905D7"/>
    <w:rsid w:val="26DE174A"/>
    <w:rsid w:val="26DE551F"/>
    <w:rsid w:val="26E34FB2"/>
    <w:rsid w:val="26E84213"/>
    <w:rsid w:val="26F222BE"/>
    <w:rsid w:val="26F768FD"/>
    <w:rsid w:val="26FD42C6"/>
    <w:rsid w:val="26FD6F73"/>
    <w:rsid w:val="26FE2845"/>
    <w:rsid w:val="26FE3B9A"/>
    <w:rsid w:val="27007912"/>
    <w:rsid w:val="27054F28"/>
    <w:rsid w:val="27085BFB"/>
    <w:rsid w:val="270C4509"/>
    <w:rsid w:val="27110760"/>
    <w:rsid w:val="27160EE4"/>
    <w:rsid w:val="271C2272"/>
    <w:rsid w:val="272066E7"/>
    <w:rsid w:val="27226BC2"/>
    <w:rsid w:val="2729330D"/>
    <w:rsid w:val="272C01F6"/>
    <w:rsid w:val="27377C59"/>
    <w:rsid w:val="274517C9"/>
    <w:rsid w:val="274F505D"/>
    <w:rsid w:val="275922F8"/>
    <w:rsid w:val="275B723E"/>
    <w:rsid w:val="276738C3"/>
    <w:rsid w:val="277327DA"/>
    <w:rsid w:val="277D71B5"/>
    <w:rsid w:val="277F0B7A"/>
    <w:rsid w:val="27813ED7"/>
    <w:rsid w:val="278472F9"/>
    <w:rsid w:val="278D3D61"/>
    <w:rsid w:val="278F1023"/>
    <w:rsid w:val="27930786"/>
    <w:rsid w:val="27933A2F"/>
    <w:rsid w:val="27AA2EA9"/>
    <w:rsid w:val="27BF15BC"/>
    <w:rsid w:val="27C27F3D"/>
    <w:rsid w:val="27C91BE0"/>
    <w:rsid w:val="27CC257C"/>
    <w:rsid w:val="27DF64F1"/>
    <w:rsid w:val="27E10833"/>
    <w:rsid w:val="27E40FE2"/>
    <w:rsid w:val="27EE5CB8"/>
    <w:rsid w:val="280177A8"/>
    <w:rsid w:val="28072F22"/>
    <w:rsid w:val="28101DD7"/>
    <w:rsid w:val="28153891"/>
    <w:rsid w:val="28240243"/>
    <w:rsid w:val="28355CE1"/>
    <w:rsid w:val="283B2268"/>
    <w:rsid w:val="28463A4A"/>
    <w:rsid w:val="28520641"/>
    <w:rsid w:val="285606AA"/>
    <w:rsid w:val="28570259"/>
    <w:rsid w:val="285D1A14"/>
    <w:rsid w:val="285F2D5E"/>
    <w:rsid w:val="286336D5"/>
    <w:rsid w:val="286504D6"/>
    <w:rsid w:val="287D6F4B"/>
    <w:rsid w:val="28824360"/>
    <w:rsid w:val="288333D3"/>
    <w:rsid w:val="288844A4"/>
    <w:rsid w:val="2897698E"/>
    <w:rsid w:val="28981F1C"/>
    <w:rsid w:val="28990A03"/>
    <w:rsid w:val="28A203FA"/>
    <w:rsid w:val="28A6273B"/>
    <w:rsid w:val="28AC5FA3"/>
    <w:rsid w:val="28AE3B9F"/>
    <w:rsid w:val="28B22E8E"/>
    <w:rsid w:val="28BC30CB"/>
    <w:rsid w:val="28C83D8A"/>
    <w:rsid w:val="28C87307"/>
    <w:rsid w:val="28CB0725"/>
    <w:rsid w:val="28CB3926"/>
    <w:rsid w:val="28CC5D80"/>
    <w:rsid w:val="28CE6913"/>
    <w:rsid w:val="28CF2DF1"/>
    <w:rsid w:val="28DC5B5F"/>
    <w:rsid w:val="28E25E07"/>
    <w:rsid w:val="28E31DFA"/>
    <w:rsid w:val="28ED036A"/>
    <w:rsid w:val="28F2772E"/>
    <w:rsid w:val="28F46B87"/>
    <w:rsid w:val="28FE2D71"/>
    <w:rsid w:val="2900009D"/>
    <w:rsid w:val="290B04F6"/>
    <w:rsid w:val="29125FE0"/>
    <w:rsid w:val="29157B33"/>
    <w:rsid w:val="2927562A"/>
    <w:rsid w:val="292D1347"/>
    <w:rsid w:val="292F2731"/>
    <w:rsid w:val="29312005"/>
    <w:rsid w:val="29325D7D"/>
    <w:rsid w:val="293460DB"/>
    <w:rsid w:val="293B10D5"/>
    <w:rsid w:val="29424212"/>
    <w:rsid w:val="29451F54"/>
    <w:rsid w:val="295108F9"/>
    <w:rsid w:val="29553353"/>
    <w:rsid w:val="295A4084"/>
    <w:rsid w:val="29634188"/>
    <w:rsid w:val="29641669"/>
    <w:rsid w:val="29646DF0"/>
    <w:rsid w:val="296E14AB"/>
    <w:rsid w:val="296F0D7F"/>
    <w:rsid w:val="29787C34"/>
    <w:rsid w:val="297A7E50"/>
    <w:rsid w:val="297C792D"/>
    <w:rsid w:val="297E0FC2"/>
    <w:rsid w:val="29806E71"/>
    <w:rsid w:val="298F1421"/>
    <w:rsid w:val="299041AF"/>
    <w:rsid w:val="29997167"/>
    <w:rsid w:val="299B4E03"/>
    <w:rsid w:val="299F52CF"/>
    <w:rsid w:val="29B02803"/>
    <w:rsid w:val="29B13146"/>
    <w:rsid w:val="29B20275"/>
    <w:rsid w:val="29B3052B"/>
    <w:rsid w:val="29B570DA"/>
    <w:rsid w:val="29B844D4"/>
    <w:rsid w:val="29C03EFA"/>
    <w:rsid w:val="29C230EF"/>
    <w:rsid w:val="29C3199F"/>
    <w:rsid w:val="29C6342A"/>
    <w:rsid w:val="29C70AA4"/>
    <w:rsid w:val="29C94933"/>
    <w:rsid w:val="29CA29C8"/>
    <w:rsid w:val="29D437F2"/>
    <w:rsid w:val="29DA6B40"/>
    <w:rsid w:val="29E452C9"/>
    <w:rsid w:val="29E462F0"/>
    <w:rsid w:val="29FA39EF"/>
    <w:rsid w:val="29FD638B"/>
    <w:rsid w:val="2A157B78"/>
    <w:rsid w:val="2A1770CB"/>
    <w:rsid w:val="2A1E5950"/>
    <w:rsid w:val="2A261D85"/>
    <w:rsid w:val="2A2E29E8"/>
    <w:rsid w:val="2A30050E"/>
    <w:rsid w:val="2A3049B2"/>
    <w:rsid w:val="2A3110EC"/>
    <w:rsid w:val="2A311F4E"/>
    <w:rsid w:val="2A322633"/>
    <w:rsid w:val="2A3738D4"/>
    <w:rsid w:val="2A3F69A3"/>
    <w:rsid w:val="2A4346E5"/>
    <w:rsid w:val="2A481519"/>
    <w:rsid w:val="2A5334FF"/>
    <w:rsid w:val="2A571F3F"/>
    <w:rsid w:val="2A5F6891"/>
    <w:rsid w:val="2A68457F"/>
    <w:rsid w:val="2A6927FD"/>
    <w:rsid w:val="2A6B366E"/>
    <w:rsid w:val="2A6B7798"/>
    <w:rsid w:val="2A6F62A1"/>
    <w:rsid w:val="2A7228D5"/>
    <w:rsid w:val="2A76764D"/>
    <w:rsid w:val="2A7A639E"/>
    <w:rsid w:val="2A7B7ED1"/>
    <w:rsid w:val="2A816FBC"/>
    <w:rsid w:val="2A8262F2"/>
    <w:rsid w:val="2A84085A"/>
    <w:rsid w:val="2A8D3BB3"/>
    <w:rsid w:val="2A8E335D"/>
    <w:rsid w:val="2A930DCD"/>
    <w:rsid w:val="2A954815"/>
    <w:rsid w:val="2AA23109"/>
    <w:rsid w:val="2AA348BC"/>
    <w:rsid w:val="2AA607D0"/>
    <w:rsid w:val="2AAB228B"/>
    <w:rsid w:val="2AAD7DB1"/>
    <w:rsid w:val="2AB12E75"/>
    <w:rsid w:val="2AC0755D"/>
    <w:rsid w:val="2AC27E76"/>
    <w:rsid w:val="2AC722C1"/>
    <w:rsid w:val="2ACD3FAF"/>
    <w:rsid w:val="2AD30156"/>
    <w:rsid w:val="2AD76BDC"/>
    <w:rsid w:val="2ADE0092"/>
    <w:rsid w:val="2AEA40D8"/>
    <w:rsid w:val="2AF42702"/>
    <w:rsid w:val="2AF55AC2"/>
    <w:rsid w:val="2AFC4894"/>
    <w:rsid w:val="2AFD30A6"/>
    <w:rsid w:val="2B0562AF"/>
    <w:rsid w:val="2B0B5110"/>
    <w:rsid w:val="2B0D0E5B"/>
    <w:rsid w:val="2B177920"/>
    <w:rsid w:val="2B1A19D1"/>
    <w:rsid w:val="2B1C4447"/>
    <w:rsid w:val="2B2B0D51"/>
    <w:rsid w:val="2B3627B5"/>
    <w:rsid w:val="2B4645B4"/>
    <w:rsid w:val="2B543BB6"/>
    <w:rsid w:val="2B55735F"/>
    <w:rsid w:val="2B567AD8"/>
    <w:rsid w:val="2B586C2C"/>
    <w:rsid w:val="2B5F3291"/>
    <w:rsid w:val="2B626DED"/>
    <w:rsid w:val="2B632818"/>
    <w:rsid w:val="2B702C06"/>
    <w:rsid w:val="2B78001F"/>
    <w:rsid w:val="2B7803BF"/>
    <w:rsid w:val="2B812AB7"/>
    <w:rsid w:val="2B846BA7"/>
    <w:rsid w:val="2B862968"/>
    <w:rsid w:val="2B975AC2"/>
    <w:rsid w:val="2B9A4D4C"/>
    <w:rsid w:val="2B9B44CB"/>
    <w:rsid w:val="2BA724C0"/>
    <w:rsid w:val="2BAB5CCA"/>
    <w:rsid w:val="2BAC0068"/>
    <w:rsid w:val="2BAD6332"/>
    <w:rsid w:val="2BB90E0A"/>
    <w:rsid w:val="2BB968DE"/>
    <w:rsid w:val="2BBB02AC"/>
    <w:rsid w:val="2BC36954"/>
    <w:rsid w:val="2BC41856"/>
    <w:rsid w:val="2BD202AE"/>
    <w:rsid w:val="2BD650E5"/>
    <w:rsid w:val="2BEA0B91"/>
    <w:rsid w:val="2BEF0CB6"/>
    <w:rsid w:val="2BFF08E3"/>
    <w:rsid w:val="2C0559CB"/>
    <w:rsid w:val="2C147888"/>
    <w:rsid w:val="2C205CC5"/>
    <w:rsid w:val="2C27756F"/>
    <w:rsid w:val="2C28763A"/>
    <w:rsid w:val="2C293467"/>
    <w:rsid w:val="2C387018"/>
    <w:rsid w:val="2C5C383D"/>
    <w:rsid w:val="2C695F59"/>
    <w:rsid w:val="2C715EFC"/>
    <w:rsid w:val="2C78619D"/>
    <w:rsid w:val="2C787F17"/>
    <w:rsid w:val="2C7A7A51"/>
    <w:rsid w:val="2C7F31B6"/>
    <w:rsid w:val="2C892158"/>
    <w:rsid w:val="2C8E7465"/>
    <w:rsid w:val="2CA156F3"/>
    <w:rsid w:val="2CA23171"/>
    <w:rsid w:val="2CA70830"/>
    <w:rsid w:val="2CA90A4C"/>
    <w:rsid w:val="2CA945A8"/>
    <w:rsid w:val="2CAB7634"/>
    <w:rsid w:val="2CAD3317"/>
    <w:rsid w:val="2CB03B88"/>
    <w:rsid w:val="2CC7158E"/>
    <w:rsid w:val="2CC80ED2"/>
    <w:rsid w:val="2CC94C4A"/>
    <w:rsid w:val="2CC97BEB"/>
    <w:rsid w:val="2CD22F81"/>
    <w:rsid w:val="2CD31625"/>
    <w:rsid w:val="2CE60EEB"/>
    <w:rsid w:val="2CEA52EC"/>
    <w:rsid w:val="2CED0939"/>
    <w:rsid w:val="2CEF46B1"/>
    <w:rsid w:val="2CF46E61"/>
    <w:rsid w:val="2CFC0B7C"/>
    <w:rsid w:val="2CFC5020"/>
    <w:rsid w:val="2D0037B6"/>
    <w:rsid w:val="2D0A14EA"/>
    <w:rsid w:val="2D0A6FD4"/>
    <w:rsid w:val="2D0E2D85"/>
    <w:rsid w:val="2D366B4C"/>
    <w:rsid w:val="2D393B7E"/>
    <w:rsid w:val="2D3A721C"/>
    <w:rsid w:val="2D45749E"/>
    <w:rsid w:val="2D4D587B"/>
    <w:rsid w:val="2D5000C0"/>
    <w:rsid w:val="2D5029C5"/>
    <w:rsid w:val="2D517119"/>
    <w:rsid w:val="2D595FCE"/>
    <w:rsid w:val="2D5A127B"/>
    <w:rsid w:val="2D8F379E"/>
    <w:rsid w:val="2D99246B"/>
    <w:rsid w:val="2DA271EE"/>
    <w:rsid w:val="2DA60AE7"/>
    <w:rsid w:val="2DAF3E40"/>
    <w:rsid w:val="2DBE22D5"/>
    <w:rsid w:val="2DCA0C7A"/>
    <w:rsid w:val="2DCA4758"/>
    <w:rsid w:val="2DD13DB6"/>
    <w:rsid w:val="2DD53C24"/>
    <w:rsid w:val="2DDC5888"/>
    <w:rsid w:val="2DE71C42"/>
    <w:rsid w:val="2DE97352"/>
    <w:rsid w:val="2DFD104F"/>
    <w:rsid w:val="2E02478B"/>
    <w:rsid w:val="2E0830CB"/>
    <w:rsid w:val="2E0B6332"/>
    <w:rsid w:val="2E165C6D"/>
    <w:rsid w:val="2E1B3283"/>
    <w:rsid w:val="2E226BE0"/>
    <w:rsid w:val="2E294A91"/>
    <w:rsid w:val="2E2C5491"/>
    <w:rsid w:val="2E2E2FB7"/>
    <w:rsid w:val="2E385BE3"/>
    <w:rsid w:val="2E3F3416"/>
    <w:rsid w:val="2E4839E5"/>
    <w:rsid w:val="2E494294"/>
    <w:rsid w:val="2E4D4A44"/>
    <w:rsid w:val="2E572615"/>
    <w:rsid w:val="2E5A0250"/>
    <w:rsid w:val="2E854446"/>
    <w:rsid w:val="2E860339"/>
    <w:rsid w:val="2E8C5F2F"/>
    <w:rsid w:val="2E951288"/>
    <w:rsid w:val="2EA22EAE"/>
    <w:rsid w:val="2EAD7421"/>
    <w:rsid w:val="2EB15996"/>
    <w:rsid w:val="2EB77450"/>
    <w:rsid w:val="2EBD433B"/>
    <w:rsid w:val="2EC00A34"/>
    <w:rsid w:val="2EC851B9"/>
    <w:rsid w:val="2EC929D3"/>
    <w:rsid w:val="2ECD54C5"/>
    <w:rsid w:val="2ECE479A"/>
    <w:rsid w:val="2ED022C0"/>
    <w:rsid w:val="2ED05604"/>
    <w:rsid w:val="2ED32E1D"/>
    <w:rsid w:val="2EDA313F"/>
    <w:rsid w:val="2EE713B8"/>
    <w:rsid w:val="2EE93382"/>
    <w:rsid w:val="2EF064BE"/>
    <w:rsid w:val="2EF10397"/>
    <w:rsid w:val="2EF37D5C"/>
    <w:rsid w:val="2EFC51FA"/>
    <w:rsid w:val="2EFE6E2D"/>
    <w:rsid w:val="2EFF6789"/>
    <w:rsid w:val="2F0B154A"/>
    <w:rsid w:val="2F10090E"/>
    <w:rsid w:val="2F155F25"/>
    <w:rsid w:val="2F176141"/>
    <w:rsid w:val="2F193C67"/>
    <w:rsid w:val="2F266384"/>
    <w:rsid w:val="2F2919D0"/>
    <w:rsid w:val="2F2B5748"/>
    <w:rsid w:val="2F350E60"/>
    <w:rsid w:val="2F387925"/>
    <w:rsid w:val="2F3C5BA7"/>
    <w:rsid w:val="2F430CE4"/>
    <w:rsid w:val="2F460926"/>
    <w:rsid w:val="2F485FCE"/>
    <w:rsid w:val="2F4D1B62"/>
    <w:rsid w:val="2F520F27"/>
    <w:rsid w:val="2F6D7F73"/>
    <w:rsid w:val="2F715851"/>
    <w:rsid w:val="2F7B7007"/>
    <w:rsid w:val="2F8119E7"/>
    <w:rsid w:val="2F8660DF"/>
    <w:rsid w:val="2F8B4C98"/>
    <w:rsid w:val="2FA44FAD"/>
    <w:rsid w:val="2FAF0127"/>
    <w:rsid w:val="2FAF1ED5"/>
    <w:rsid w:val="2FB60FDA"/>
    <w:rsid w:val="2FB971F8"/>
    <w:rsid w:val="2FBE7EF5"/>
    <w:rsid w:val="2FBF2DDD"/>
    <w:rsid w:val="2FC02541"/>
    <w:rsid w:val="2FC83BD3"/>
    <w:rsid w:val="2FCD13D2"/>
    <w:rsid w:val="2FD40903"/>
    <w:rsid w:val="2FE20F33"/>
    <w:rsid w:val="2FED3DE1"/>
    <w:rsid w:val="2FED6709"/>
    <w:rsid w:val="2FEE6EA1"/>
    <w:rsid w:val="2FF26266"/>
    <w:rsid w:val="2FF40230"/>
    <w:rsid w:val="2FF65CC7"/>
    <w:rsid w:val="2FFA1F7A"/>
    <w:rsid w:val="2FFD3CD9"/>
    <w:rsid w:val="30027A07"/>
    <w:rsid w:val="300809C9"/>
    <w:rsid w:val="300D72CC"/>
    <w:rsid w:val="30134B9E"/>
    <w:rsid w:val="301461DC"/>
    <w:rsid w:val="30180C08"/>
    <w:rsid w:val="3023337F"/>
    <w:rsid w:val="302A1EA4"/>
    <w:rsid w:val="302F1268"/>
    <w:rsid w:val="303430B0"/>
    <w:rsid w:val="3040220C"/>
    <w:rsid w:val="3041305B"/>
    <w:rsid w:val="304154CB"/>
    <w:rsid w:val="30503D83"/>
    <w:rsid w:val="306A22A0"/>
    <w:rsid w:val="306A2B61"/>
    <w:rsid w:val="306C0471"/>
    <w:rsid w:val="30722B71"/>
    <w:rsid w:val="30813311"/>
    <w:rsid w:val="308415B4"/>
    <w:rsid w:val="308E5F8F"/>
    <w:rsid w:val="30974EC3"/>
    <w:rsid w:val="30A43A04"/>
    <w:rsid w:val="30A77C1C"/>
    <w:rsid w:val="30B20D73"/>
    <w:rsid w:val="30B65A06"/>
    <w:rsid w:val="30CF7407"/>
    <w:rsid w:val="30D103C3"/>
    <w:rsid w:val="30D156A4"/>
    <w:rsid w:val="30DD2A72"/>
    <w:rsid w:val="30EB518F"/>
    <w:rsid w:val="30F57DBC"/>
    <w:rsid w:val="30FD3114"/>
    <w:rsid w:val="30FD3D3F"/>
    <w:rsid w:val="30FE230E"/>
    <w:rsid w:val="3103697D"/>
    <w:rsid w:val="31071512"/>
    <w:rsid w:val="3110753A"/>
    <w:rsid w:val="31162FEA"/>
    <w:rsid w:val="311B3635"/>
    <w:rsid w:val="311C4FA6"/>
    <w:rsid w:val="311E37B6"/>
    <w:rsid w:val="312A0D45"/>
    <w:rsid w:val="312D20D9"/>
    <w:rsid w:val="312F3756"/>
    <w:rsid w:val="31336186"/>
    <w:rsid w:val="31344D88"/>
    <w:rsid w:val="31425023"/>
    <w:rsid w:val="31446D37"/>
    <w:rsid w:val="314615E0"/>
    <w:rsid w:val="31462D0D"/>
    <w:rsid w:val="31464ABB"/>
    <w:rsid w:val="314A1EE5"/>
    <w:rsid w:val="31531747"/>
    <w:rsid w:val="3154611C"/>
    <w:rsid w:val="315E0057"/>
    <w:rsid w:val="3163566D"/>
    <w:rsid w:val="316B2857"/>
    <w:rsid w:val="31706E96"/>
    <w:rsid w:val="31771119"/>
    <w:rsid w:val="3184437D"/>
    <w:rsid w:val="318B3F2D"/>
    <w:rsid w:val="318F0210"/>
    <w:rsid w:val="31975317"/>
    <w:rsid w:val="319E66A5"/>
    <w:rsid w:val="31AC0DC2"/>
    <w:rsid w:val="31B53EAE"/>
    <w:rsid w:val="31B639EF"/>
    <w:rsid w:val="31C14142"/>
    <w:rsid w:val="31C36052"/>
    <w:rsid w:val="31C62C52"/>
    <w:rsid w:val="31C83722"/>
    <w:rsid w:val="31CD6F8B"/>
    <w:rsid w:val="31CE34E0"/>
    <w:rsid w:val="31DE6E0A"/>
    <w:rsid w:val="31E207C8"/>
    <w:rsid w:val="31F42769"/>
    <w:rsid w:val="31F77E89"/>
    <w:rsid w:val="31FC33CC"/>
    <w:rsid w:val="32022285"/>
    <w:rsid w:val="32093FAF"/>
    <w:rsid w:val="320A3356"/>
    <w:rsid w:val="321B7CF6"/>
    <w:rsid w:val="32222E32"/>
    <w:rsid w:val="32250B75"/>
    <w:rsid w:val="322546D1"/>
    <w:rsid w:val="32335040"/>
    <w:rsid w:val="3240150B"/>
    <w:rsid w:val="32412581"/>
    <w:rsid w:val="324E1E79"/>
    <w:rsid w:val="32503B4C"/>
    <w:rsid w:val="32540F90"/>
    <w:rsid w:val="3255145A"/>
    <w:rsid w:val="325B4596"/>
    <w:rsid w:val="325F4087"/>
    <w:rsid w:val="32607DFF"/>
    <w:rsid w:val="32621481"/>
    <w:rsid w:val="326351F9"/>
    <w:rsid w:val="32696CB3"/>
    <w:rsid w:val="327945FB"/>
    <w:rsid w:val="3283371F"/>
    <w:rsid w:val="32843AED"/>
    <w:rsid w:val="328C4750"/>
    <w:rsid w:val="328C72C2"/>
    <w:rsid w:val="32902492"/>
    <w:rsid w:val="32964E8B"/>
    <w:rsid w:val="329F0927"/>
    <w:rsid w:val="329F4B49"/>
    <w:rsid w:val="32A65305"/>
    <w:rsid w:val="32A7158A"/>
    <w:rsid w:val="32AA4B5D"/>
    <w:rsid w:val="32AF043E"/>
    <w:rsid w:val="32BA66ED"/>
    <w:rsid w:val="32C739DA"/>
    <w:rsid w:val="32DA54BB"/>
    <w:rsid w:val="32E225C2"/>
    <w:rsid w:val="32E95C5F"/>
    <w:rsid w:val="32EC0397"/>
    <w:rsid w:val="32EE0F67"/>
    <w:rsid w:val="32EF6EC5"/>
    <w:rsid w:val="32F347CF"/>
    <w:rsid w:val="32F36FFC"/>
    <w:rsid w:val="32F86BEA"/>
    <w:rsid w:val="32FF13C6"/>
    <w:rsid w:val="33086DB3"/>
    <w:rsid w:val="330B1B18"/>
    <w:rsid w:val="33136C1F"/>
    <w:rsid w:val="331A7FAD"/>
    <w:rsid w:val="331C3D26"/>
    <w:rsid w:val="331D35FA"/>
    <w:rsid w:val="331F2E53"/>
    <w:rsid w:val="332331E6"/>
    <w:rsid w:val="332940F8"/>
    <w:rsid w:val="333170A5"/>
    <w:rsid w:val="333A2B20"/>
    <w:rsid w:val="335459F5"/>
    <w:rsid w:val="33550FE6"/>
    <w:rsid w:val="33562CC6"/>
    <w:rsid w:val="33571C4D"/>
    <w:rsid w:val="335D7E9A"/>
    <w:rsid w:val="335E269C"/>
    <w:rsid w:val="33613E2E"/>
    <w:rsid w:val="33615BDC"/>
    <w:rsid w:val="3361798A"/>
    <w:rsid w:val="33650773"/>
    <w:rsid w:val="33707BCD"/>
    <w:rsid w:val="33720B0C"/>
    <w:rsid w:val="33737CBA"/>
    <w:rsid w:val="33767533"/>
    <w:rsid w:val="337E22EA"/>
    <w:rsid w:val="337E2A5B"/>
    <w:rsid w:val="337E6DA1"/>
    <w:rsid w:val="338A588C"/>
    <w:rsid w:val="338B2C59"/>
    <w:rsid w:val="33924388"/>
    <w:rsid w:val="33970E49"/>
    <w:rsid w:val="339729FC"/>
    <w:rsid w:val="339C4E66"/>
    <w:rsid w:val="339E006E"/>
    <w:rsid w:val="33A819B6"/>
    <w:rsid w:val="33B67A43"/>
    <w:rsid w:val="33D740F0"/>
    <w:rsid w:val="33E563FD"/>
    <w:rsid w:val="33F97BC3"/>
    <w:rsid w:val="33FB4393"/>
    <w:rsid w:val="33FE7883"/>
    <w:rsid w:val="34036C94"/>
    <w:rsid w:val="3405046B"/>
    <w:rsid w:val="34080D6F"/>
    <w:rsid w:val="3409053E"/>
    <w:rsid w:val="340C3D9A"/>
    <w:rsid w:val="340C5B48"/>
    <w:rsid w:val="340F6D76"/>
    <w:rsid w:val="34120C85"/>
    <w:rsid w:val="341368F8"/>
    <w:rsid w:val="34140F53"/>
    <w:rsid w:val="341C5E81"/>
    <w:rsid w:val="341F0B53"/>
    <w:rsid w:val="3422185A"/>
    <w:rsid w:val="34295E5B"/>
    <w:rsid w:val="343455CA"/>
    <w:rsid w:val="3437108B"/>
    <w:rsid w:val="343D5B8E"/>
    <w:rsid w:val="34480B4A"/>
    <w:rsid w:val="344F3C87"/>
    <w:rsid w:val="345B03B1"/>
    <w:rsid w:val="34621C0C"/>
    <w:rsid w:val="346C2A8B"/>
    <w:rsid w:val="34772C3E"/>
    <w:rsid w:val="347C61DE"/>
    <w:rsid w:val="347F04EC"/>
    <w:rsid w:val="348E4283"/>
    <w:rsid w:val="34927BB3"/>
    <w:rsid w:val="34983880"/>
    <w:rsid w:val="349B3370"/>
    <w:rsid w:val="349D092C"/>
    <w:rsid w:val="349E4CF3"/>
    <w:rsid w:val="349F3702"/>
    <w:rsid w:val="34B25DEE"/>
    <w:rsid w:val="34B644B3"/>
    <w:rsid w:val="34BA06FF"/>
    <w:rsid w:val="34C226AB"/>
    <w:rsid w:val="34C24CC3"/>
    <w:rsid w:val="34CC64BD"/>
    <w:rsid w:val="34DD5737"/>
    <w:rsid w:val="34DF14AF"/>
    <w:rsid w:val="34F57284"/>
    <w:rsid w:val="34F860CC"/>
    <w:rsid w:val="34F87471"/>
    <w:rsid w:val="3501085A"/>
    <w:rsid w:val="35020CF9"/>
    <w:rsid w:val="350847A9"/>
    <w:rsid w:val="350E6FB7"/>
    <w:rsid w:val="351A6043"/>
    <w:rsid w:val="351B1F37"/>
    <w:rsid w:val="351F5010"/>
    <w:rsid w:val="35236CE8"/>
    <w:rsid w:val="353115DE"/>
    <w:rsid w:val="353636EA"/>
    <w:rsid w:val="353E4427"/>
    <w:rsid w:val="35425726"/>
    <w:rsid w:val="35487054"/>
    <w:rsid w:val="3566572C"/>
    <w:rsid w:val="356814A4"/>
    <w:rsid w:val="356E45E1"/>
    <w:rsid w:val="357C0AAC"/>
    <w:rsid w:val="358160D1"/>
    <w:rsid w:val="35831E3A"/>
    <w:rsid w:val="358E7A14"/>
    <w:rsid w:val="359C0069"/>
    <w:rsid w:val="359C2EBE"/>
    <w:rsid w:val="35A21857"/>
    <w:rsid w:val="35A63D7A"/>
    <w:rsid w:val="35A973C7"/>
    <w:rsid w:val="35AC1902"/>
    <w:rsid w:val="35AD5109"/>
    <w:rsid w:val="35B446E9"/>
    <w:rsid w:val="35B66829"/>
    <w:rsid w:val="35BD501E"/>
    <w:rsid w:val="35C20038"/>
    <w:rsid w:val="35CA4616"/>
    <w:rsid w:val="35CA7FAC"/>
    <w:rsid w:val="35D10DE4"/>
    <w:rsid w:val="35D17793"/>
    <w:rsid w:val="35D5640E"/>
    <w:rsid w:val="35DC5F21"/>
    <w:rsid w:val="35E97B9E"/>
    <w:rsid w:val="35EB3E83"/>
    <w:rsid w:val="35EB68C7"/>
    <w:rsid w:val="35F727E8"/>
    <w:rsid w:val="35F8212F"/>
    <w:rsid w:val="35FE7F8F"/>
    <w:rsid w:val="360A255B"/>
    <w:rsid w:val="360A4309"/>
    <w:rsid w:val="36176A26"/>
    <w:rsid w:val="361A37AB"/>
    <w:rsid w:val="361C0677"/>
    <w:rsid w:val="36261C8A"/>
    <w:rsid w:val="362B738D"/>
    <w:rsid w:val="362C24D2"/>
    <w:rsid w:val="3630651C"/>
    <w:rsid w:val="363B44C3"/>
    <w:rsid w:val="363E0457"/>
    <w:rsid w:val="363E3FB3"/>
    <w:rsid w:val="363F7A6E"/>
    <w:rsid w:val="364B5153"/>
    <w:rsid w:val="364C66D0"/>
    <w:rsid w:val="364D16F2"/>
    <w:rsid w:val="36537175"/>
    <w:rsid w:val="365A08B2"/>
    <w:rsid w:val="365B6F05"/>
    <w:rsid w:val="365F4D76"/>
    <w:rsid w:val="36633A19"/>
    <w:rsid w:val="36653C36"/>
    <w:rsid w:val="36693C9B"/>
    <w:rsid w:val="366C0B20"/>
    <w:rsid w:val="3672119A"/>
    <w:rsid w:val="36767BF1"/>
    <w:rsid w:val="367E2916"/>
    <w:rsid w:val="367E3385"/>
    <w:rsid w:val="3680281D"/>
    <w:rsid w:val="368048F5"/>
    <w:rsid w:val="36876BAF"/>
    <w:rsid w:val="369C22B5"/>
    <w:rsid w:val="369E0AE5"/>
    <w:rsid w:val="36AA0128"/>
    <w:rsid w:val="36AB4A13"/>
    <w:rsid w:val="36AD2D04"/>
    <w:rsid w:val="36B424C7"/>
    <w:rsid w:val="36B92852"/>
    <w:rsid w:val="36B954C1"/>
    <w:rsid w:val="36BD5820"/>
    <w:rsid w:val="36C62A73"/>
    <w:rsid w:val="36C95F72"/>
    <w:rsid w:val="36DF7B91"/>
    <w:rsid w:val="36E0665E"/>
    <w:rsid w:val="36E25286"/>
    <w:rsid w:val="36E46467"/>
    <w:rsid w:val="36E82A49"/>
    <w:rsid w:val="36E8479F"/>
    <w:rsid w:val="36EC348A"/>
    <w:rsid w:val="36ED7BA0"/>
    <w:rsid w:val="36EF29FB"/>
    <w:rsid w:val="36F358A1"/>
    <w:rsid w:val="36F86858"/>
    <w:rsid w:val="36F974DE"/>
    <w:rsid w:val="3700182F"/>
    <w:rsid w:val="3701073A"/>
    <w:rsid w:val="37023232"/>
    <w:rsid w:val="37030895"/>
    <w:rsid w:val="3703195B"/>
    <w:rsid w:val="37064312"/>
    <w:rsid w:val="37103BA1"/>
    <w:rsid w:val="371770F1"/>
    <w:rsid w:val="371A67CE"/>
    <w:rsid w:val="372371D2"/>
    <w:rsid w:val="37270FA6"/>
    <w:rsid w:val="372C6501"/>
    <w:rsid w:val="37347C1F"/>
    <w:rsid w:val="373C4996"/>
    <w:rsid w:val="373F7FE3"/>
    <w:rsid w:val="374C2700"/>
    <w:rsid w:val="374D172E"/>
    <w:rsid w:val="37534C3F"/>
    <w:rsid w:val="375546D0"/>
    <w:rsid w:val="375B193B"/>
    <w:rsid w:val="375D15A6"/>
    <w:rsid w:val="37623CD1"/>
    <w:rsid w:val="37627760"/>
    <w:rsid w:val="37653AC0"/>
    <w:rsid w:val="37660B99"/>
    <w:rsid w:val="3768137E"/>
    <w:rsid w:val="376B0DD8"/>
    <w:rsid w:val="376C4B50"/>
    <w:rsid w:val="376E08C8"/>
    <w:rsid w:val="376E6B1A"/>
    <w:rsid w:val="37740126"/>
    <w:rsid w:val="37753E24"/>
    <w:rsid w:val="377D0B0B"/>
    <w:rsid w:val="377E78F4"/>
    <w:rsid w:val="37832E87"/>
    <w:rsid w:val="3783461F"/>
    <w:rsid w:val="37887BDC"/>
    <w:rsid w:val="378C0D4E"/>
    <w:rsid w:val="378D51F2"/>
    <w:rsid w:val="37902B37"/>
    <w:rsid w:val="37A4575C"/>
    <w:rsid w:val="37B32000"/>
    <w:rsid w:val="37BC4753"/>
    <w:rsid w:val="37BF2ED1"/>
    <w:rsid w:val="37C02B01"/>
    <w:rsid w:val="37C36E66"/>
    <w:rsid w:val="37CB15CB"/>
    <w:rsid w:val="37D60273"/>
    <w:rsid w:val="37D63079"/>
    <w:rsid w:val="37EA3B69"/>
    <w:rsid w:val="37FC04AB"/>
    <w:rsid w:val="37FF7772"/>
    <w:rsid w:val="38037262"/>
    <w:rsid w:val="38066458"/>
    <w:rsid w:val="38085751"/>
    <w:rsid w:val="380A05F1"/>
    <w:rsid w:val="38122438"/>
    <w:rsid w:val="38127605"/>
    <w:rsid w:val="38206066"/>
    <w:rsid w:val="38230ED5"/>
    <w:rsid w:val="38305B7D"/>
    <w:rsid w:val="38413A3C"/>
    <w:rsid w:val="384653A1"/>
    <w:rsid w:val="384B73B3"/>
    <w:rsid w:val="3851621F"/>
    <w:rsid w:val="385201EA"/>
    <w:rsid w:val="385273AD"/>
    <w:rsid w:val="3858143F"/>
    <w:rsid w:val="38586A05"/>
    <w:rsid w:val="38673C95"/>
    <w:rsid w:val="38683569"/>
    <w:rsid w:val="386A108F"/>
    <w:rsid w:val="386D0B7F"/>
    <w:rsid w:val="38717CFC"/>
    <w:rsid w:val="38772A62"/>
    <w:rsid w:val="387A419F"/>
    <w:rsid w:val="38883C0B"/>
    <w:rsid w:val="388D2FD0"/>
    <w:rsid w:val="3892737C"/>
    <w:rsid w:val="389775FB"/>
    <w:rsid w:val="38A67513"/>
    <w:rsid w:val="38AD71CE"/>
    <w:rsid w:val="38B4055C"/>
    <w:rsid w:val="38C60F10"/>
    <w:rsid w:val="38CC7F9C"/>
    <w:rsid w:val="38D429AD"/>
    <w:rsid w:val="38D440A8"/>
    <w:rsid w:val="38E2331B"/>
    <w:rsid w:val="38E74176"/>
    <w:rsid w:val="38ED32B6"/>
    <w:rsid w:val="38F17A02"/>
    <w:rsid w:val="38F81903"/>
    <w:rsid w:val="391549C6"/>
    <w:rsid w:val="39186D3D"/>
    <w:rsid w:val="392515F3"/>
    <w:rsid w:val="39273DDD"/>
    <w:rsid w:val="3929230A"/>
    <w:rsid w:val="392B5BF8"/>
    <w:rsid w:val="392C459D"/>
    <w:rsid w:val="393B0C7E"/>
    <w:rsid w:val="394432A0"/>
    <w:rsid w:val="39463BA7"/>
    <w:rsid w:val="39475874"/>
    <w:rsid w:val="394863A4"/>
    <w:rsid w:val="394C4C39"/>
    <w:rsid w:val="394E09B1"/>
    <w:rsid w:val="3951224F"/>
    <w:rsid w:val="39541FE2"/>
    <w:rsid w:val="395937C4"/>
    <w:rsid w:val="395E6E3B"/>
    <w:rsid w:val="396102BC"/>
    <w:rsid w:val="396226AE"/>
    <w:rsid w:val="39677CC5"/>
    <w:rsid w:val="396D3EAE"/>
    <w:rsid w:val="397165A3"/>
    <w:rsid w:val="397F31CA"/>
    <w:rsid w:val="39810977"/>
    <w:rsid w:val="398A2638"/>
    <w:rsid w:val="39967C45"/>
    <w:rsid w:val="399A1E48"/>
    <w:rsid w:val="39A00AB0"/>
    <w:rsid w:val="39AE246A"/>
    <w:rsid w:val="39AE63D1"/>
    <w:rsid w:val="39BA7DF4"/>
    <w:rsid w:val="39BB2941"/>
    <w:rsid w:val="39C07AC4"/>
    <w:rsid w:val="39C22870"/>
    <w:rsid w:val="39C35FBC"/>
    <w:rsid w:val="39C649EB"/>
    <w:rsid w:val="39C96289"/>
    <w:rsid w:val="39CA4AFD"/>
    <w:rsid w:val="39D11B36"/>
    <w:rsid w:val="39D46693"/>
    <w:rsid w:val="39D751C8"/>
    <w:rsid w:val="39DC7D6B"/>
    <w:rsid w:val="39EB26A4"/>
    <w:rsid w:val="39ED337C"/>
    <w:rsid w:val="39EF2819"/>
    <w:rsid w:val="39F5767E"/>
    <w:rsid w:val="39F937D7"/>
    <w:rsid w:val="3A0A5D83"/>
    <w:rsid w:val="3A1103BF"/>
    <w:rsid w:val="3A184A3D"/>
    <w:rsid w:val="3A1E0383"/>
    <w:rsid w:val="3A2160C5"/>
    <w:rsid w:val="3A251C25"/>
    <w:rsid w:val="3A293D70"/>
    <w:rsid w:val="3A3136DC"/>
    <w:rsid w:val="3A34221E"/>
    <w:rsid w:val="3A3E538D"/>
    <w:rsid w:val="3A4060DF"/>
    <w:rsid w:val="3A406597"/>
    <w:rsid w:val="3A460494"/>
    <w:rsid w:val="3A47350E"/>
    <w:rsid w:val="3A4D6EBA"/>
    <w:rsid w:val="3A4F1AB0"/>
    <w:rsid w:val="3A555125"/>
    <w:rsid w:val="3A585A36"/>
    <w:rsid w:val="3A5A0D74"/>
    <w:rsid w:val="3A5B7507"/>
    <w:rsid w:val="3A5E59CC"/>
    <w:rsid w:val="3A667F7C"/>
    <w:rsid w:val="3A6B5876"/>
    <w:rsid w:val="3A6D602C"/>
    <w:rsid w:val="3A73406D"/>
    <w:rsid w:val="3A7A7584"/>
    <w:rsid w:val="3A886145"/>
    <w:rsid w:val="3A91727F"/>
    <w:rsid w:val="3A9C399E"/>
    <w:rsid w:val="3A9E2E77"/>
    <w:rsid w:val="3AA905B3"/>
    <w:rsid w:val="3AB3217D"/>
    <w:rsid w:val="3ABC5104"/>
    <w:rsid w:val="3ABC621B"/>
    <w:rsid w:val="3ACF16EE"/>
    <w:rsid w:val="3AD564D4"/>
    <w:rsid w:val="3ADF033F"/>
    <w:rsid w:val="3ADF74BC"/>
    <w:rsid w:val="3AE0388B"/>
    <w:rsid w:val="3AE6778B"/>
    <w:rsid w:val="3AEA295B"/>
    <w:rsid w:val="3AEE3C6A"/>
    <w:rsid w:val="3AF16102"/>
    <w:rsid w:val="3AFB781A"/>
    <w:rsid w:val="3AFD268F"/>
    <w:rsid w:val="3AFE73AB"/>
    <w:rsid w:val="3B003F2D"/>
    <w:rsid w:val="3B0A0908"/>
    <w:rsid w:val="3B0D21A6"/>
    <w:rsid w:val="3B0F5F1E"/>
    <w:rsid w:val="3B1168D4"/>
    <w:rsid w:val="3B176761"/>
    <w:rsid w:val="3B1A4D83"/>
    <w:rsid w:val="3B223CA0"/>
    <w:rsid w:val="3B2D45F6"/>
    <w:rsid w:val="3B3360B0"/>
    <w:rsid w:val="3B3E6803"/>
    <w:rsid w:val="3B3F7F07"/>
    <w:rsid w:val="3B49312C"/>
    <w:rsid w:val="3B4C40C5"/>
    <w:rsid w:val="3B522A47"/>
    <w:rsid w:val="3B533262"/>
    <w:rsid w:val="3B5344E9"/>
    <w:rsid w:val="3B554279"/>
    <w:rsid w:val="3B605538"/>
    <w:rsid w:val="3B6115EE"/>
    <w:rsid w:val="3B627439"/>
    <w:rsid w:val="3B660234"/>
    <w:rsid w:val="3B693880"/>
    <w:rsid w:val="3B6E0E96"/>
    <w:rsid w:val="3B766366"/>
    <w:rsid w:val="3B7D732B"/>
    <w:rsid w:val="3B7F4E52"/>
    <w:rsid w:val="3B820184"/>
    <w:rsid w:val="3B822B94"/>
    <w:rsid w:val="3B8334A3"/>
    <w:rsid w:val="3B83362A"/>
    <w:rsid w:val="3B84690C"/>
    <w:rsid w:val="3B8C1640"/>
    <w:rsid w:val="3B8C756F"/>
    <w:rsid w:val="3B97172B"/>
    <w:rsid w:val="3B9A3FA2"/>
    <w:rsid w:val="3B9F6B19"/>
    <w:rsid w:val="3BA1369D"/>
    <w:rsid w:val="3BAA54F3"/>
    <w:rsid w:val="3BAB20EB"/>
    <w:rsid w:val="3BAE1BDB"/>
    <w:rsid w:val="3BC34F89"/>
    <w:rsid w:val="3BC92571"/>
    <w:rsid w:val="3BC96A15"/>
    <w:rsid w:val="3BCE402B"/>
    <w:rsid w:val="3BD50F16"/>
    <w:rsid w:val="3BD86AFA"/>
    <w:rsid w:val="3BDA068C"/>
    <w:rsid w:val="3BDA29D0"/>
    <w:rsid w:val="3BDB7BEC"/>
    <w:rsid w:val="3BE13D5E"/>
    <w:rsid w:val="3BE3135C"/>
    <w:rsid w:val="3BE850ED"/>
    <w:rsid w:val="3BEB0739"/>
    <w:rsid w:val="3BED0328"/>
    <w:rsid w:val="3BF10EB2"/>
    <w:rsid w:val="3BF72819"/>
    <w:rsid w:val="3BFB6574"/>
    <w:rsid w:val="3C02083E"/>
    <w:rsid w:val="3C033CD5"/>
    <w:rsid w:val="3C0479D5"/>
    <w:rsid w:val="3C1F03E3"/>
    <w:rsid w:val="3C23215C"/>
    <w:rsid w:val="3C252BFE"/>
    <w:rsid w:val="3C287DDE"/>
    <w:rsid w:val="3C317F85"/>
    <w:rsid w:val="3C3D198A"/>
    <w:rsid w:val="3C4D6CFE"/>
    <w:rsid w:val="3C4F6C2D"/>
    <w:rsid w:val="3C526A0A"/>
    <w:rsid w:val="3C634773"/>
    <w:rsid w:val="3C7414B8"/>
    <w:rsid w:val="3C797AF3"/>
    <w:rsid w:val="3C810CF7"/>
    <w:rsid w:val="3C872D5D"/>
    <w:rsid w:val="3C8B3CCA"/>
    <w:rsid w:val="3C8D6883"/>
    <w:rsid w:val="3C945B02"/>
    <w:rsid w:val="3C9C19B7"/>
    <w:rsid w:val="3CA32DC2"/>
    <w:rsid w:val="3CA52FDE"/>
    <w:rsid w:val="3CA56B8F"/>
    <w:rsid w:val="3CA803D8"/>
    <w:rsid w:val="3CAC22EF"/>
    <w:rsid w:val="3CB05FF7"/>
    <w:rsid w:val="3CBA10CD"/>
    <w:rsid w:val="3CC044ED"/>
    <w:rsid w:val="3CC702FA"/>
    <w:rsid w:val="3CC92012"/>
    <w:rsid w:val="3CCB74B9"/>
    <w:rsid w:val="3CCD6091"/>
    <w:rsid w:val="3CCE54C5"/>
    <w:rsid w:val="3CD30D7F"/>
    <w:rsid w:val="3CD93138"/>
    <w:rsid w:val="3CDD0F86"/>
    <w:rsid w:val="3CE27D8E"/>
    <w:rsid w:val="3CE638AB"/>
    <w:rsid w:val="3CE94D42"/>
    <w:rsid w:val="3D006466"/>
    <w:rsid w:val="3D023F8C"/>
    <w:rsid w:val="3D103642"/>
    <w:rsid w:val="3D133790"/>
    <w:rsid w:val="3D1E05AE"/>
    <w:rsid w:val="3D2F0AF9"/>
    <w:rsid w:val="3D393726"/>
    <w:rsid w:val="3D3F013A"/>
    <w:rsid w:val="3D521369"/>
    <w:rsid w:val="3D5B369C"/>
    <w:rsid w:val="3D5D52E5"/>
    <w:rsid w:val="3D5E72E1"/>
    <w:rsid w:val="3D631F35"/>
    <w:rsid w:val="3D662FF5"/>
    <w:rsid w:val="3D663493"/>
    <w:rsid w:val="3D753150"/>
    <w:rsid w:val="3D7534BE"/>
    <w:rsid w:val="3D842BF3"/>
    <w:rsid w:val="3D8F5878"/>
    <w:rsid w:val="3D98377F"/>
    <w:rsid w:val="3D9B1CEB"/>
    <w:rsid w:val="3DA22762"/>
    <w:rsid w:val="3DBC2580"/>
    <w:rsid w:val="3DBF4698"/>
    <w:rsid w:val="3DC375E2"/>
    <w:rsid w:val="3DDF7E2A"/>
    <w:rsid w:val="3DE548B0"/>
    <w:rsid w:val="3DE6565C"/>
    <w:rsid w:val="3DF12C92"/>
    <w:rsid w:val="3DF90C4F"/>
    <w:rsid w:val="3DFA4C63"/>
    <w:rsid w:val="3DFF671E"/>
    <w:rsid w:val="3E034029"/>
    <w:rsid w:val="3E037480"/>
    <w:rsid w:val="3E065274"/>
    <w:rsid w:val="3E0755D2"/>
    <w:rsid w:val="3E12473D"/>
    <w:rsid w:val="3E133F77"/>
    <w:rsid w:val="3E1D0952"/>
    <w:rsid w:val="3E1D4268"/>
    <w:rsid w:val="3E1D4930"/>
    <w:rsid w:val="3E1F0B6E"/>
    <w:rsid w:val="3E257275"/>
    <w:rsid w:val="3E2919ED"/>
    <w:rsid w:val="3E29379B"/>
    <w:rsid w:val="3E3068D7"/>
    <w:rsid w:val="3E3A3E57"/>
    <w:rsid w:val="3E443E7E"/>
    <w:rsid w:val="3E474B17"/>
    <w:rsid w:val="3E492A9D"/>
    <w:rsid w:val="3E4A2A81"/>
    <w:rsid w:val="3E522CF1"/>
    <w:rsid w:val="3E5720B6"/>
    <w:rsid w:val="3E5C04C3"/>
    <w:rsid w:val="3E5F71BC"/>
    <w:rsid w:val="3E637DF5"/>
    <w:rsid w:val="3E6A67A5"/>
    <w:rsid w:val="3E6B19C8"/>
    <w:rsid w:val="3E6B2874"/>
    <w:rsid w:val="3E6E73FF"/>
    <w:rsid w:val="3E70633D"/>
    <w:rsid w:val="3E7A1E1D"/>
    <w:rsid w:val="3E8D3169"/>
    <w:rsid w:val="3E9522AF"/>
    <w:rsid w:val="3EA877B7"/>
    <w:rsid w:val="3EB219E2"/>
    <w:rsid w:val="3EB30076"/>
    <w:rsid w:val="3EB30D53"/>
    <w:rsid w:val="3EBC0D29"/>
    <w:rsid w:val="3ED03C16"/>
    <w:rsid w:val="3ED10744"/>
    <w:rsid w:val="3ED543B5"/>
    <w:rsid w:val="3ED72198"/>
    <w:rsid w:val="3ED77EDD"/>
    <w:rsid w:val="3ED93781"/>
    <w:rsid w:val="3EDB4A95"/>
    <w:rsid w:val="3EDC578A"/>
    <w:rsid w:val="3EDC6A5F"/>
    <w:rsid w:val="3EDE4091"/>
    <w:rsid w:val="3EE55913"/>
    <w:rsid w:val="3EE76FDC"/>
    <w:rsid w:val="3EE939CC"/>
    <w:rsid w:val="3EEF2D03"/>
    <w:rsid w:val="3EF30A49"/>
    <w:rsid w:val="3EF721D5"/>
    <w:rsid w:val="3EF73899"/>
    <w:rsid w:val="3EF75647"/>
    <w:rsid w:val="3EF773F5"/>
    <w:rsid w:val="3EF968B3"/>
    <w:rsid w:val="3EFD0EAF"/>
    <w:rsid w:val="3F021018"/>
    <w:rsid w:val="3F042A00"/>
    <w:rsid w:val="3F042A7D"/>
    <w:rsid w:val="3F145CA2"/>
    <w:rsid w:val="3F147FA7"/>
    <w:rsid w:val="3F1520AE"/>
    <w:rsid w:val="3F216D66"/>
    <w:rsid w:val="3F2E1DA1"/>
    <w:rsid w:val="3F2F4DE1"/>
    <w:rsid w:val="3F300D14"/>
    <w:rsid w:val="3F345732"/>
    <w:rsid w:val="3F3C6ED4"/>
    <w:rsid w:val="3F45637A"/>
    <w:rsid w:val="3F47037C"/>
    <w:rsid w:val="3F477BB2"/>
    <w:rsid w:val="3F4F6143"/>
    <w:rsid w:val="3F52287D"/>
    <w:rsid w:val="3F5703E0"/>
    <w:rsid w:val="3F591E5E"/>
    <w:rsid w:val="3F5D194E"/>
    <w:rsid w:val="3F5D6E73"/>
    <w:rsid w:val="3F6104C6"/>
    <w:rsid w:val="3F663C97"/>
    <w:rsid w:val="3F685210"/>
    <w:rsid w:val="3F6A5E19"/>
    <w:rsid w:val="3F7942AE"/>
    <w:rsid w:val="3F982311"/>
    <w:rsid w:val="3FA1655A"/>
    <w:rsid w:val="3FA1658F"/>
    <w:rsid w:val="3FA57B63"/>
    <w:rsid w:val="3FAA400B"/>
    <w:rsid w:val="3FAD119F"/>
    <w:rsid w:val="3FAE1726"/>
    <w:rsid w:val="3FB157F6"/>
    <w:rsid w:val="3FB452E6"/>
    <w:rsid w:val="3FB64B12"/>
    <w:rsid w:val="3FB66F3B"/>
    <w:rsid w:val="3FBE68C2"/>
    <w:rsid w:val="3FC03D34"/>
    <w:rsid w:val="3FC92B3F"/>
    <w:rsid w:val="3FC94921"/>
    <w:rsid w:val="3FCE63A8"/>
    <w:rsid w:val="3FDE5C0F"/>
    <w:rsid w:val="3FF35E0E"/>
    <w:rsid w:val="3FFB36D7"/>
    <w:rsid w:val="3FFD6C8D"/>
    <w:rsid w:val="401775F8"/>
    <w:rsid w:val="401F09B1"/>
    <w:rsid w:val="4021297B"/>
    <w:rsid w:val="402879DD"/>
    <w:rsid w:val="40297A82"/>
    <w:rsid w:val="40343A2F"/>
    <w:rsid w:val="403E2E27"/>
    <w:rsid w:val="403F2E01"/>
    <w:rsid w:val="404843AC"/>
    <w:rsid w:val="40556AC9"/>
    <w:rsid w:val="4061165D"/>
    <w:rsid w:val="40686FF3"/>
    <w:rsid w:val="406E36E7"/>
    <w:rsid w:val="4070745F"/>
    <w:rsid w:val="40722B73"/>
    <w:rsid w:val="4078566A"/>
    <w:rsid w:val="40786313"/>
    <w:rsid w:val="407B78CA"/>
    <w:rsid w:val="40816334"/>
    <w:rsid w:val="40844CB8"/>
    <w:rsid w:val="40901656"/>
    <w:rsid w:val="409526BA"/>
    <w:rsid w:val="40986A6F"/>
    <w:rsid w:val="40AB66E9"/>
    <w:rsid w:val="40B82E20"/>
    <w:rsid w:val="40C770F8"/>
    <w:rsid w:val="40CB0F7D"/>
    <w:rsid w:val="40D043A1"/>
    <w:rsid w:val="40D21EC7"/>
    <w:rsid w:val="40D734D2"/>
    <w:rsid w:val="40DE5A38"/>
    <w:rsid w:val="40E63206"/>
    <w:rsid w:val="40E85247"/>
    <w:rsid w:val="40F64D4B"/>
    <w:rsid w:val="40FD05ED"/>
    <w:rsid w:val="41016309"/>
    <w:rsid w:val="41055DF9"/>
    <w:rsid w:val="41060B89"/>
    <w:rsid w:val="410B7187"/>
    <w:rsid w:val="410F0A26"/>
    <w:rsid w:val="411E387C"/>
    <w:rsid w:val="41285EE9"/>
    <w:rsid w:val="412E1EDF"/>
    <w:rsid w:val="41320BB8"/>
    <w:rsid w:val="4139423B"/>
    <w:rsid w:val="413F7AA0"/>
    <w:rsid w:val="41405083"/>
    <w:rsid w:val="41462FE5"/>
    <w:rsid w:val="414A7205"/>
    <w:rsid w:val="415D54F4"/>
    <w:rsid w:val="41626605"/>
    <w:rsid w:val="41693578"/>
    <w:rsid w:val="41735459"/>
    <w:rsid w:val="4176014F"/>
    <w:rsid w:val="41831414"/>
    <w:rsid w:val="418A5C9D"/>
    <w:rsid w:val="418C02C8"/>
    <w:rsid w:val="418F243E"/>
    <w:rsid w:val="41923076"/>
    <w:rsid w:val="41985036"/>
    <w:rsid w:val="419A382B"/>
    <w:rsid w:val="41B8730F"/>
    <w:rsid w:val="41C10754"/>
    <w:rsid w:val="41C87C39"/>
    <w:rsid w:val="41DD28D2"/>
    <w:rsid w:val="41E8090D"/>
    <w:rsid w:val="41F31DED"/>
    <w:rsid w:val="41F73F74"/>
    <w:rsid w:val="41F8595E"/>
    <w:rsid w:val="41FD11C6"/>
    <w:rsid w:val="420C32FF"/>
    <w:rsid w:val="42154762"/>
    <w:rsid w:val="421B164C"/>
    <w:rsid w:val="421B33FA"/>
    <w:rsid w:val="421F113C"/>
    <w:rsid w:val="422538A1"/>
    <w:rsid w:val="4226071D"/>
    <w:rsid w:val="422C159B"/>
    <w:rsid w:val="42347097"/>
    <w:rsid w:val="423750AC"/>
    <w:rsid w:val="42486C3B"/>
    <w:rsid w:val="424B3CDF"/>
    <w:rsid w:val="425939AE"/>
    <w:rsid w:val="425A2175"/>
    <w:rsid w:val="425F59DD"/>
    <w:rsid w:val="42674891"/>
    <w:rsid w:val="42683F3F"/>
    <w:rsid w:val="42696A6E"/>
    <w:rsid w:val="426A6872"/>
    <w:rsid w:val="42784CF1"/>
    <w:rsid w:val="42893451"/>
    <w:rsid w:val="428C42F8"/>
    <w:rsid w:val="42957651"/>
    <w:rsid w:val="42A038DB"/>
    <w:rsid w:val="42AB0C22"/>
    <w:rsid w:val="42AB30F6"/>
    <w:rsid w:val="42B2128A"/>
    <w:rsid w:val="42B555FD"/>
    <w:rsid w:val="42BC508B"/>
    <w:rsid w:val="42C121F4"/>
    <w:rsid w:val="42C24431"/>
    <w:rsid w:val="42C345BC"/>
    <w:rsid w:val="42C45840"/>
    <w:rsid w:val="42C817D4"/>
    <w:rsid w:val="42C910A8"/>
    <w:rsid w:val="42CE66BF"/>
    <w:rsid w:val="42D00689"/>
    <w:rsid w:val="42D24401"/>
    <w:rsid w:val="42DA1507"/>
    <w:rsid w:val="42E604ED"/>
    <w:rsid w:val="42EA72E1"/>
    <w:rsid w:val="42EE5B8F"/>
    <w:rsid w:val="42F11BFD"/>
    <w:rsid w:val="42F13D32"/>
    <w:rsid w:val="42F17338"/>
    <w:rsid w:val="43006725"/>
    <w:rsid w:val="431140F9"/>
    <w:rsid w:val="431C7A3B"/>
    <w:rsid w:val="432D5ADB"/>
    <w:rsid w:val="43300153"/>
    <w:rsid w:val="43324E9F"/>
    <w:rsid w:val="433A0CC0"/>
    <w:rsid w:val="433B45BA"/>
    <w:rsid w:val="4349087A"/>
    <w:rsid w:val="435117C9"/>
    <w:rsid w:val="43535E66"/>
    <w:rsid w:val="43543068"/>
    <w:rsid w:val="4360446B"/>
    <w:rsid w:val="43657023"/>
    <w:rsid w:val="43681121"/>
    <w:rsid w:val="437B44C4"/>
    <w:rsid w:val="43931C20"/>
    <w:rsid w:val="4396542E"/>
    <w:rsid w:val="439711A6"/>
    <w:rsid w:val="4397623D"/>
    <w:rsid w:val="43A41F82"/>
    <w:rsid w:val="43A86F10"/>
    <w:rsid w:val="43B35FE0"/>
    <w:rsid w:val="43BC7E77"/>
    <w:rsid w:val="43BF4082"/>
    <w:rsid w:val="43C158AB"/>
    <w:rsid w:val="43CE6E82"/>
    <w:rsid w:val="43D0402D"/>
    <w:rsid w:val="43D87FA5"/>
    <w:rsid w:val="43DF41EB"/>
    <w:rsid w:val="43E333B4"/>
    <w:rsid w:val="43E61041"/>
    <w:rsid w:val="43EC7D40"/>
    <w:rsid w:val="43F14D5A"/>
    <w:rsid w:val="43F45F04"/>
    <w:rsid w:val="43F65ECD"/>
    <w:rsid w:val="43F87E97"/>
    <w:rsid w:val="440C3942"/>
    <w:rsid w:val="440C4218"/>
    <w:rsid w:val="440F7783"/>
    <w:rsid w:val="44110F59"/>
    <w:rsid w:val="441445A5"/>
    <w:rsid w:val="442567B2"/>
    <w:rsid w:val="442E38B9"/>
    <w:rsid w:val="443A431D"/>
    <w:rsid w:val="443B3EB2"/>
    <w:rsid w:val="443F5452"/>
    <w:rsid w:val="4441079C"/>
    <w:rsid w:val="44476729"/>
    <w:rsid w:val="444C59E6"/>
    <w:rsid w:val="445F7730"/>
    <w:rsid w:val="446A2417"/>
    <w:rsid w:val="447328B2"/>
    <w:rsid w:val="44780FD8"/>
    <w:rsid w:val="44797D33"/>
    <w:rsid w:val="44810A2A"/>
    <w:rsid w:val="4487121B"/>
    <w:rsid w:val="448917EC"/>
    <w:rsid w:val="448E25A9"/>
    <w:rsid w:val="449D459A"/>
    <w:rsid w:val="44A1408B"/>
    <w:rsid w:val="44A27E03"/>
    <w:rsid w:val="44B30262"/>
    <w:rsid w:val="44BD69EB"/>
    <w:rsid w:val="44C0027D"/>
    <w:rsid w:val="44C22253"/>
    <w:rsid w:val="44CB1E58"/>
    <w:rsid w:val="44CF2AE1"/>
    <w:rsid w:val="44CF4D60"/>
    <w:rsid w:val="44D34460"/>
    <w:rsid w:val="44D3620E"/>
    <w:rsid w:val="44DC50C3"/>
    <w:rsid w:val="44DD1BBC"/>
    <w:rsid w:val="44DF2E05"/>
    <w:rsid w:val="44E07B24"/>
    <w:rsid w:val="44E328F5"/>
    <w:rsid w:val="44E623E5"/>
    <w:rsid w:val="44E81CBA"/>
    <w:rsid w:val="44E977E0"/>
    <w:rsid w:val="44ED4D84"/>
    <w:rsid w:val="44ED5522"/>
    <w:rsid w:val="44EF2301"/>
    <w:rsid w:val="44F25523"/>
    <w:rsid w:val="44FA08A8"/>
    <w:rsid w:val="44FD11A6"/>
    <w:rsid w:val="44FD4773"/>
    <w:rsid w:val="450B3BFA"/>
    <w:rsid w:val="450D6267"/>
    <w:rsid w:val="45101210"/>
    <w:rsid w:val="45191FB9"/>
    <w:rsid w:val="45230F44"/>
    <w:rsid w:val="45237196"/>
    <w:rsid w:val="452E1696"/>
    <w:rsid w:val="452F508E"/>
    <w:rsid w:val="453535AE"/>
    <w:rsid w:val="453C1E2A"/>
    <w:rsid w:val="453E18DA"/>
    <w:rsid w:val="454A1AE0"/>
    <w:rsid w:val="454A74DF"/>
    <w:rsid w:val="4558476F"/>
    <w:rsid w:val="45617CBE"/>
    <w:rsid w:val="456E7A48"/>
    <w:rsid w:val="45713D12"/>
    <w:rsid w:val="457827F1"/>
    <w:rsid w:val="45806396"/>
    <w:rsid w:val="458539AC"/>
    <w:rsid w:val="4585575A"/>
    <w:rsid w:val="4591073B"/>
    <w:rsid w:val="459B14EF"/>
    <w:rsid w:val="45A007E6"/>
    <w:rsid w:val="45A35BE1"/>
    <w:rsid w:val="45A3718A"/>
    <w:rsid w:val="45A63DD0"/>
    <w:rsid w:val="45A86070"/>
    <w:rsid w:val="45B7168C"/>
    <w:rsid w:val="45BB63E7"/>
    <w:rsid w:val="45BD255B"/>
    <w:rsid w:val="45C17918"/>
    <w:rsid w:val="45CA01C1"/>
    <w:rsid w:val="45CA13BF"/>
    <w:rsid w:val="45CA567E"/>
    <w:rsid w:val="45D71D2E"/>
    <w:rsid w:val="45E16709"/>
    <w:rsid w:val="45E543B2"/>
    <w:rsid w:val="45E85CE9"/>
    <w:rsid w:val="45E953AB"/>
    <w:rsid w:val="45F11B00"/>
    <w:rsid w:val="45FD1795"/>
    <w:rsid w:val="45FE1811"/>
    <w:rsid w:val="45FE72BB"/>
    <w:rsid w:val="46044B84"/>
    <w:rsid w:val="46103249"/>
    <w:rsid w:val="46113492"/>
    <w:rsid w:val="4614649B"/>
    <w:rsid w:val="46157321"/>
    <w:rsid w:val="46162856"/>
    <w:rsid w:val="461B492F"/>
    <w:rsid w:val="461C2EE4"/>
    <w:rsid w:val="461D3BE5"/>
    <w:rsid w:val="461D403D"/>
    <w:rsid w:val="463E5FF7"/>
    <w:rsid w:val="46471E19"/>
    <w:rsid w:val="46473F88"/>
    <w:rsid w:val="466943F9"/>
    <w:rsid w:val="466E67BD"/>
    <w:rsid w:val="467651A3"/>
    <w:rsid w:val="46767F03"/>
    <w:rsid w:val="468E65EC"/>
    <w:rsid w:val="469265F7"/>
    <w:rsid w:val="46953F4C"/>
    <w:rsid w:val="4698326B"/>
    <w:rsid w:val="469A5235"/>
    <w:rsid w:val="469A6FE4"/>
    <w:rsid w:val="469B0FAE"/>
    <w:rsid w:val="469D252C"/>
    <w:rsid w:val="46A12CE0"/>
    <w:rsid w:val="46A22B56"/>
    <w:rsid w:val="46B12D46"/>
    <w:rsid w:val="46B20E11"/>
    <w:rsid w:val="46B34549"/>
    <w:rsid w:val="46B362F7"/>
    <w:rsid w:val="46B67B95"/>
    <w:rsid w:val="46B856BC"/>
    <w:rsid w:val="46CA5828"/>
    <w:rsid w:val="46CE3131"/>
    <w:rsid w:val="46DD1730"/>
    <w:rsid w:val="46DD4053"/>
    <w:rsid w:val="46F012F9"/>
    <w:rsid w:val="46FD771A"/>
    <w:rsid w:val="47015186"/>
    <w:rsid w:val="47020F8D"/>
    <w:rsid w:val="47122184"/>
    <w:rsid w:val="47157A2C"/>
    <w:rsid w:val="47173184"/>
    <w:rsid w:val="47266AC9"/>
    <w:rsid w:val="47280A93"/>
    <w:rsid w:val="47287B5B"/>
    <w:rsid w:val="47297A89"/>
    <w:rsid w:val="472F45C5"/>
    <w:rsid w:val="47534CFB"/>
    <w:rsid w:val="47543636"/>
    <w:rsid w:val="47573126"/>
    <w:rsid w:val="475F022D"/>
    <w:rsid w:val="47737835"/>
    <w:rsid w:val="4776324D"/>
    <w:rsid w:val="477A06A5"/>
    <w:rsid w:val="4780264B"/>
    <w:rsid w:val="47840E05"/>
    <w:rsid w:val="47951367"/>
    <w:rsid w:val="47953C4F"/>
    <w:rsid w:val="47A10846"/>
    <w:rsid w:val="47B42327"/>
    <w:rsid w:val="47B61C55"/>
    <w:rsid w:val="47B65015"/>
    <w:rsid w:val="47C84024"/>
    <w:rsid w:val="47CD6D2B"/>
    <w:rsid w:val="47D2285B"/>
    <w:rsid w:val="47D26C51"/>
    <w:rsid w:val="47D44402"/>
    <w:rsid w:val="47DB3D58"/>
    <w:rsid w:val="47E028E1"/>
    <w:rsid w:val="47EA3F9B"/>
    <w:rsid w:val="47EA5D49"/>
    <w:rsid w:val="47EC35F1"/>
    <w:rsid w:val="47F25B59"/>
    <w:rsid w:val="480037BE"/>
    <w:rsid w:val="480224C9"/>
    <w:rsid w:val="48025817"/>
    <w:rsid w:val="480331A8"/>
    <w:rsid w:val="480668E0"/>
    <w:rsid w:val="48072E11"/>
    <w:rsid w:val="480D5073"/>
    <w:rsid w:val="48124AA4"/>
    <w:rsid w:val="481553CE"/>
    <w:rsid w:val="48193843"/>
    <w:rsid w:val="481A4316"/>
    <w:rsid w:val="481B5E95"/>
    <w:rsid w:val="48223734"/>
    <w:rsid w:val="48253225"/>
    <w:rsid w:val="482A0D15"/>
    <w:rsid w:val="482A25E9"/>
    <w:rsid w:val="482B0439"/>
    <w:rsid w:val="482D3E87"/>
    <w:rsid w:val="483376F0"/>
    <w:rsid w:val="484216E1"/>
    <w:rsid w:val="48495124"/>
    <w:rsid w:val="48517B76"/>
    <w:rsid w:val="48587E7D"/>
    <w:rsid w:val="48645BBE"/>
    <w:rsid w:val="48667DE2"/>
    <w:rsid w:val="486855B7"/>
    <w:rsid w:val="486A35F7"/>
    <w:rsid w:val="48735D3E"/>
    <w:rsid w:val="487970CD"/>
    <w:rsid w:val="48831CF9"/>
    <w:rsid w:val="488A12DA"/>
    <w:rsid w:val="48962B48"/>
    <w:rsid w:val="48970ED3"/>
    <w:rsid w:val="489F6A50"/>
    <w:rsid w:val="48A173ED"/>
    <w:rsid w:val="48A4239B"/>
    <w:rsid w:val="48B306AC"/>
    <w:rsid w:val="48B445F1"/>
    <w:rsid w:val="48B620CF"/>
    <w:rsid w:val="48B90820"/>
    <w:rsid w:val="48BA224A"/>
    <w:rsid w:val="48BC2773"/>
    <w:rsid w:val="48C447EC"/>
    <w:rsid w:val="48C82B1C"/>
    <w:rsid w:val="48C93BF9"/>
    <w:rsid w:val="48CB5B7A"/>
    <w:rsid w:val="48CD641C"/>
    <w:rsid w:val="48D72771"/>
    <w:rsid w:val="48DB6397"/>
    <w:rsid w:val="48E34EBB"/>
    <w:rsid w:val="48F34DB8"/>
    <w:rsid w:val="48F7696F"/>
    <w:rsid w:val="49076E78"/>
    <w:rsid w:val="492E5B32"/>
    <w:rsid w:val="49303C2F"/>
    <w:rsid w:val="4933371F"/>
    <w:rsid w:val="493F20C4"/>
    <w:rsid w:val="4951787D"/>
    <w:rsid w:val="495B7301"/>
    <w:rsid w:val="495F4514"/>
    <w:rsid w:val="49663AF5"/>
    <w:rsid w:val="4966543E"/>
    <w:rsid w:val="49697141"/>
    <w:rsid w:val="497002B3"/>
    <w:rsid w:val="49731D6E"/>
    <w:rsid w:val="497577D4"/>
    <w:rsid w:val="49793828"/>
    <w:rsid w:val="49885819"/>
    <w:rsid w:val="49891B2B"/>
    <w:rsid w:val="4989333F"/>
    <w:rsid w:val="4995285F"/>
    <w:rsid w:val="499A554C"/>
    <w:rsid w:val="499E6DEB"/>
    <w:rsid w:val="49A308A5"/>
    <w:rsid w:val="49A72822"/>
    <w:rsid w:val="49A925F7"/>
    <w:rsid w:val="49AC2D8E"/>
    <w:rsid w:val="49AD34D2"/>
    <w:rsid w:val="49AF724A"/>
    <w:rsid w:val="49AF7780"/>
    <w:rsid w:val="49BA7E42"/>
    <w:rsid w:val="49C16F7D"/>
    <w:rsid w:val="49C425C9"/>
    <w:rsid w:val="49CD147E"/>
    <w:rsid w:val="49CD76D0"/>
    <w:rsid w:val="49CE3B72"/>
    <w:rsid w:val="49D813F7"/>
    <w:rsid w:val="49DD17FC"/>
    <w:rsid w:val="49E30CA1"/>
    <w:rsid w:val="49E62540"/>
    <w:rsid w:val="49EC22F3"/>
    <w:rsid w:val="49ED519E"/>
    <w:rsid w:val="49F76134"/>
    <w:rsid w:val="49F93CCA"/>
    <w:rsid w:val="4A001853"/>
    <w:rsid w:val="4A0550BC"/>
    <w:rsid w:val="4A092229"/>
    <w:rsid w:val="4A0B2A82"/>
    <w:rsid w:val="4A133849"/>
    <w:rsid w:val="4A1A538A"/>
    <w:rsid w:val="4A1B7EBE"/>
    <w:rsid w:val="4A203CA4"/>
    <w:rsid w:val="4A207AD7"/>
    <w:rsid w:val="4A227604"/>
    <w:rsid w:val="4A235B57"/>
    <w:rsid w:val="4A2A2D74"/>
    <w:rsid w:val="4A2A67FD"/>
    <w:rsid w:val="4A37207C"/>
    <w:rsid w:val="4A3C6604"/>
    <w:rsid w:val="4A3E68EF"/>
    <w:rsid w:val="4A452CA8"/>
    <w:rsid w:val="4A5751EC"/>
    <w:rsid w:val="4A5776FC"/>
    <w:rsid w:val="4A62606A"/>
    <w:rsid w:val="4A6C74D7"/>
    <w:rsid w:val="4A755ED9"/>
    <w:rsid w:val="4A7713A7"/>
    <w:rsid w:val="4A783AE0"/>
    <w:rsid w:val="4A8A55C1"/>
    <w:rsid w:val="4A8A73D1"/>
    <w:rsid w:val="4A8F0121"/>
    <w:rsid w:val="4A8F45DE"/>
    <w:rsid w:val="4A92201C"/>
    <w:rsid w:val="4A9532A7"/>
    <w:rsid w:val="4A991232"/>
    <w:rsid w:val="4A995804"/>
    <w:rsid w:val="4A9B332A"/>
    <w:rsid w:val="4A9C4040"/>
    <w:rsid w:val="4A9D2C6A"/>
    <w:rsid w:val="4A9F2AAF"/>
    <w:rsid w:val="4AA06B93"/>
    <w:rsid w:val="4AA2290B"/>
    <w:rsid w:val="4AB20C98"/>
    <w:rsid w:val="4ABE526B"/>
    <w:rsid w:val="4AC960EC"/>
    <w:rsid w:val="4ACE3438"/>
    <w:rsid w:val="4AD666AF"/>
    <w:rsid w:val="4ADA02F6"/>
    <w:rsid w:val="4ADC3C3A"/>
    <w:rsid w:val="4ADD3943"/>
    <w:rsid w:val="4AE50A49"/>
    <w:rsid w:val="4AE748F4"/>
    <w:rsid w:val="4AE7656F"/>
    <w:rsid w:val="4AE8134C"/>
    <w:rsid w:val="4AE9678B"/>
    <w:rsid w:val="4AEC1DD8"/>
    <w:rsid w:val="4AEE78FE"/>
    <w:rsid w:val="4AF56EDE"/>
    <w:rsid w:val="4B074E64"/>
    <w:rsid w:val="4B0B559C"/>
    <w:rsid w:val="4B100E76"/>
    <w:rsid w:val="4B10647C"/>
    <w:rsid w:val="4B133808"/>
    <w:rsid w:val="4B1A0571"/>
    <w:rsid w:val="4B1A5918"/>
    <w:rsid w:val="4B1C090F"/>
    <w:rsid w:val="4B2528D2"/>
    <w:rsid w:val="4B257098"/>
    <w:rsid w:val="4B35552D"/>
    <w:rsid w:val="4B3D2633"/>
    <w:rsid w:val="4B427C4A"/>
    <w:rsid w:val="4B4A7FFD"/>
    <w:rsid w:val="4B4C0AC8"/>
    <w:rsid w:val="4B58746D"/>
    <w:rsid w:val="4B6127C6"/>
    <w:rsid w:val="4B646826"/>
    <w:rsid w:val="4B646F1E"/>
    <w:rsid w:val="4B671FA9"/>
    <w:rsid w:val="4B672EC5"/>
    <w:rsid w:val="4B6D0F12"/>
    <w:rsid w:val="4B7818BD"/>
    <w:rsid w:val="4B855E96"/>
    <w:rsid w:val="4B951644"/>
    <w:rsid w:val="4BAB2DD0"/>
    <w:rsid w:val="4BAC29EF"/>
    <w:rsid w:val="4BBA1ED6"/>
    <w:rsid w:val="4BBC5C4E"/>
    <w:rsid w:val="4BC93EC7"/>
    <w:rsid w:val="4BC97A1C"/>
    <w:rsid w:val="4BD8788C"/>
    <w:rsid w:val="4BDB6202"/>
    <w:rsid w:val="4BDD519F"/>
    <w:rsid w:val="4BE07B8E"/>
    <w:rsid w:val="4BE11211"/>
    <w:rsid w:val="4BE34F89"/>
    <w:rsid w:val="4BE3715B"/>
    <w:rsid w:val="4BEF2CA4"/>
    <w:rsid w:val="4BF13A1E"/>
    <w:rsid w:val="4BFA32F7"/>
    <w:rsid w:val="4BFE7762"/>
    <w:rsid w:val="4C065EF4"/>
    <w:rsid w:val="4C0A0767"/>
    <w:rsid w:val="4C0D6ADE"/>
    <w:rsid w:val="4C125EBA"/>
    <w:rsid w:val="4C132777"/>
    <w:rsid w:val="4C15535E"/>
    <w:rsid w:val="4C26756B"/>
    <w:rsid w:val="4C353320"/>
    <w:rsid w:val="4C416153"/>
    <w:rsid w:val="4C433C79"/>
    <w:rsid w:val="4C46376A"/>
    <w:rsid w:val="4C4C5224"/>
    <w:rsid w:val="4C51283A"/>
    <w:rsid w:val="4C581661"/>
    <w:rsid w:val="4C5916EF"/>
    <w:rsid w:val="4C6360CA"/>
    <w:rsid w:val="4C64349E"/>
    <w:rsid w:val="4C6753F2"/>
    <w:rsid w:val="4C6B5B4D"/>
    <w:rsid w:val="4C6F2CC0"/>
    <w:rsid w:val="4C706B3A"/>
    <w:rsid w:val="4C7279FA"/>
    <w:rsid w:val="4C7E2F03"/>
    <w:rsid w:val="4C7E4CB1"/>
    <w:rsid w:val="4C8916EB"/>
    <w:rsid w:val="4C8A18A8"/>
    <w:rsid w:val="4C8C3872"/>
    <w:rsid w:val="4C8D37BD"/>
    <w:rsid w:val="4C9269AF"/>
    <w:rsid w:val="4C936B9D"/>
    <w:rsid w:val="4C9646F1"/>
    <w:rsid w:val="4CA1156E"/>
    <w:rsid w:val="4CB03465"/>
    <w:rsid w:val="4CB33BFE"/>
    <w:rsid w:val="4CB46925"/>
    <w:rsid w:val="4CB66B41"/>
    <w:rsid w:val="4CB93F3C"/>
    <w:rsid w:val="4CBB4158"/>
    <w:rsid w:val="4CBD46A4"/>
    <w:rsid w:val="4CC44A4F"/>
    <w:rsid w:val="4CD6689C"/>
    <w:rsid w:val="4CDB43D6"/>
    <w:rsid w:val="4CDE51FA"/>
    <w:rsid w:val="4CE03BBE"/>
    <w:rsid w:val="4CE23492"/>
    <w:rsid w:val="4CE94821"/>
    <w:rsid w:val="4CF66F3E"/>
    <w:rsid w:val="4D0272C9"/>
    <w:rsid w:val="4D032A67"/>
    <w:rsid w:val="4D1343C8"/>
    <w:rsid w:val="4D1443D7"/>
    <w:rsid w:val="4D16313C"/>
    <w:rsid w:val="4D1A4185"/>
    <w:rsid w:val="4D1A70D0"/>
    <w:rsid w:val="4D2717ED"/>
    <w:rsid w:val="4D272479"/>
    <w:rsid w:val="4D2A6BE7"/>
    <w:rsid w:val="4D36080A"/>
    <w:rsid w:val="4D4D3BF7"/>
    <w:rsid w:val="4D52686A"/>
    <w:rsid w:val="4D5D520F"/>
    <w:rsid w:val="4D5F4AE3"/>
    <w:rsid w:val="4D62199A"/>
    <w:rsid w:val="4D640F8B"/>
    <w:rsid w:val="4D7D31BB"/>
    <w:rsid w:val="4D812CA4"/>
    <w:rsid w:val="4D83495E"/>
    <w:rsid w:val="4D895357"/>
    <w:rsid w:val="4D927236"/>
    <w:rsid w:val="4D950BFE"/>
    <w:rsid w:val="4D9C7AE5"/>
    <w:rsid w:val="4D9D08C2"/>
    <w:rsid w:val="4DA1635B"/>
    <w:rsid w:val="4DA22C22"/>
    <w:rsid w:val="4DA34D57"/>
    <w:rsid w:val="4DAE1598"/>
    <w:rsid w:val="4DB73C0B"/>
    <w:rsid w:val="4DB80114"/>
    <w:rsid w:val="4DBE5CAD"/>
    <w:rsid w:val="4DC16C24"/>
    <w:rsid w:val="4DC4703C"/>
    <w:rsid w:val="4DC951B1"/>
    <w:rsid w:val="4DCB2D6D"/>
    <w:rsid w:val="4DDE6F3C"/>
    <w:rsid w:val="4DE34E77"/>
    <w:rsid w:val="4DE57648"/>
    <w:rsid w:val="4DEE5E67"/>
    <w:rsid w:val="4DF307D4"/>
    <w:rsid w:val="4DF4313E"/>
    <w:rsid w:val="4DF77876"/>
    <w:rsid w:val="4E01203E"/>
    <w:rsid w:val="4E0538DC"/>
    <w:rsid w:val="4E09282D"/>
    <w:rsid w:val="4E0E7AA2"/>
    <w:rsid w:val="4E0F6FC2"/>
    <w:rsid w:val="4E1458CD"/>
    <w:rsid w:val="4E1B7701"/>
    <w:rsid w:val="4E296E9F"/>
    <w:rsid w:val="4E2B0E69"/>
    <w:rsid w:val="4E2E3FCE"/>
    <w:rsid w:val="4E334920"/>
    <w:rsid w:val="4E495436"/>
    <w:rsid w:val="4E4C759D"/>
    <w:rsid w:val="4E4F070A"/>
    <w:rsid w:val="4E5959D6"/>
    <w:rsid w:val="4E5B79A0"/>
    <w:rsid w:val="4E612ADD"/>
    <w:rsid w:val="4E6C395B"/>
    <w:rsid w:val="4E7312E2"/>
    <w:rsid w:val="4E786A65"/>
    <w:rsid w:val="4E797E26"/>
    <w:rsid w:val="4E883E90"/>
    <w:rsid w:val="4E9609D8"/>
    <w:rsid w:val="4EA03605"/>
    <w:rsid w:val="4EA12ED9"/>
    <w:rsid w:val="4EAA6232"/>
    <w:rsid w:val="4EAD7503"/>
    <w:rsid w:val="4EAF1A9A"/>
    <w:rsid w:val="4EB175C0"/>
    <w:rsid w:val="4EB40E5E"/>
    <w:rsid w:val="4EBF6FC0"/>
    <w:rsid w:val="4EC72940"/>
    <w:rsid w:val="4EE351DA"/>
    <w:rsid w:val="4EE47996"/>
    <w:rsid w:val="4EE90D96"/>
    <w:rsid w:val="4EF44DE5"/>
    <w:rsid w:val="4F027E1C"/>
    <w:rsid w:val="4F0408C5"/>
    <w:rsid w:val="4F06218B"/>
    <w:rsid w:val="4F175383"/>
    <w:rsid w:val="4F1D07B2"/>
    <w:rsid w:val="4F2C2F9E"/>
    <w:rsid w:val="4F31425D"/>
    <w:rsid w:val="4F36029F"/>
    <w:rsid w:val="4F3C3E9E"/>
    <w:rsid w:val="4F437C01"/>
    <w:rsid w:val="4F4C72E9"/>
    <w:rsid w:val="4F4E1770"/>
    <w:rsid w:val="4F4F2935"/>
    <w:rsid w:val="4F5245DF"/>
    <w:rsid w:val="4F58791E"/>
    <w:rsid w:val="4F5B752C"/>
    <w:rsid w:val="4F6463E1"/>
    <w:rsid w:val="4F6914C6"/>
    <w:rsid w:val="4F705773"/>
    <w:rsid w:val="4F7815E6"/>
    <w:rsid w:val="4F823DD9"/>
    <w:rsid w:val="4F836FD1"/>
    <w:rsid w:val="4F844CD5"/>
    <w:rsid w:val="4F847D34"/>
    <w:rsid w:val="4F9667B6"/>
    <w:rsid w:val="4F9E6E89"/>
    <w:rsid w:val="4FA07BA9"/>
    <w:rsid w:val="4FAE5817"/>
    <w:rsid w:val="4FB91229"/>
    <w:rsid w:val="4FBC54B3"/>
    <w:rsid w:val="4FBD1E78"/>
    <w:rsid w:val="4FC32DBF"/>
    <w:rsid w:val="4FC450D1"/>
    <w:rsid w:val="4FCC3F86"/>
    <w:rsid w:val="4FCC4A71"/>
    <w:rsid w:val="4FD23E66"/>
    <w:rsid w:val="4FD33566"/>
    <w:rsid w:val="4FD74D0A"/>
    <w:rsid w:val="4FDD7510"/>
    <w:rsid w:val="4FDF1C24"/>
    <w:rsid w:val="4FE22ECD"/>
    <w:rsid w:val="4FE77CCD"/>
    <w:rsid w:val="4FEA6D37"/>
    <w:rsid w:val="4FEE03A0"/>
    <w:rsid w:val="4FF17EF4"/>
    <w:rsid w:val="4FF86249"/>
    <w:rsid w:val="50067962"/>
    <w:rsid w:val="500951DA"/>
    <w:rsid w:val="500B0F52"/>
    <w:rsid w:val="5012260E"/>
    <w:rsid w:val="50146059"/>
    <w:rsid w:val="50200547"/>
    <w:rsid w:val="50210787"/>
    <w:rsid w:val="50212524"/>
    <w:rsid w:val="5032028D"/>
    <w:rsid w:val="50342257"/>
    <w:rsid w:val="50461F8A"/>
    <w:rsid w:val="505418DC"/>
    <w:rsid w:val="505446A7"/>
    <w:rsid w:val="50557973"/>
    <w:rsid w:val="50591CBD"/>
    <w:rsid w:val="50597F0F"/>
    <w:rsid w:val="505A77E4"/>
    <w:rsid w:val="505D789E"/>
    <w:rsid w:val="505E171B"/>
    <w:rsid w:val="50642AB3"/>
    <w:rsid w:val="50771950"/>
    <w:rsid w:val="50825881"/>
    <w:rsid w:val="50854F6A"/>
    <w:rsid w:val="508605D9"/>
    <w:rsid w:val="50894295"/>
    <w:rsid w:val="509B4D1B"/>
    <w:rsid w:val="509E4251"/>
    <w:rsid w:val="50A36C1C"/>
    <w:rsid w:val="50A771E5"/>
    <w:rsid w:val="50AA08ED"/>
    <w:rsid w:val="50AC6291"/>
    <w:rsid w:val="50AE71A8"/>
    <w:rsid w:val="50B172B5"/>
    <w:rsid w:val="50B45146"/>
    <w:rsid w:val="50B821E1"/>
    <w:rsid w:val="50BC5088"/>
    <w:rsid w:val="50BE5FC4"/>
    <w:rsid w:val="50C31FE7"/>
    <w:rsid w:val="50C47AEB"/>
    <w:rsid w:val="50D94BAC"/>
    <w:rsid w:val="50E023DF"/>
    <w:rsid w:val="50EC16BE"/>
    <w:rsid w:val="50EE4206"/>
    <w:rsid w:val="50EF0A56"/>
    <w:rsid w:val="50F11EF6"/>
    <w:rsid w:val="50FB4B23"/>
    <w:rsid w:val="50FE4613"/>
    <w:rsid w:val="510654A1"/>
    <w:rsid w:val="51067449"/>
    <w:rsid w:val="51234079"/>
    <w:rsid w:val="51256932"/>
    <w:rsid w:val="512723B2"/>
    <w:rsid w:val="5129263E"/>
    <w:rsid w:val="512C1180"/>
    <w:rsid w:val="512C5624"/>
    <w:rsid w:val="51353AE8"/>
    <w:rsid w:val="513613AB"/>
    <w:rsid w:val="5136170E"/>
    <w:rsid w:val="513C5BDC"/>
    <w:rsid w:val="513E54F4"/>
    <w:rsid w:val="5144471C"/>
    <w:rsid w:val="51510BE7"/>
    <w:rsid w:val="515A46FB"/>
    <w:rsid w:val="515A507F"/>
    <w:rsid w:val="516628C5"/>
    <w:rsid w:val="51736DAF"/>
    <w:rsid w:val="51752B27"/>
    <w:rsid w:val="51772672"/>
    <w:rsid w:val="5184720E"/>
    <w:rsid w:val="5186233E"/>
    <w:rsid w:val="518D0F18"/>
    <w:rsid w:val="518D7071"/>
    <w:rsid w:val="51A05024"/>
    <w:rsid w:val="51A52BCC"/>
    <w:rsid w:val="51A6009C"/>
    <w:rsid w:val="51A6350E"/>
    <w:rsid w:val="51AA6678"/>
    <w:rsid w:val="51AC5F66"/>
    <w:rsid w:val="51BA678C"/>
    <w:rsid w:val="51C23892"/>
    <w:rsid w:val="51C94C21"/>
    <w:rsid w:val="51D04201"/>
    <w:rsid w:val="51D843C4"/>
    <w:rsid w:val="51D84E64"/>
    <w:rsid w:val="51DA038A"/>
    <w:rsid w:val="51DC2B68"/>
    <w:rsid w:val="51E11F6A"/>
    <w:rsid w:val="51EE6435"/>
    <w:rsid w:val="51F03958"/>
    <w:rsid w:val="51F24178"/>
    <w:rsid w:val="51F54744"/>
    <w:rsid w:val="51F91A08"/>
    <w:rsid w:val="51FA74D0"/>
    <w:rsid w:val="51FE0D6E"/>
    <w:rsid w:val="52043EAB"/>
    <w:rsid w:val="52152C2C"/>
    <w:rsid w:val="52234D06"/>
    <w:rsid w:val="52255AD6"/>
    <w:rsid w:val="5226664F"/>
    <w:rsid w:val="52271947"/>
    <w:rsid w:val="522A0B18"/>
    <w:rsid w:val="522D1654"/>
    <w:rsid w:val="522D3402"/>
    <w:rsid w:val="52304CA0"/>
    <w:rsid w:val="52311972"/>
    <w:rsid w:val="52352B08"/>
    <w:rsid w:val="523A1AA0"/>
    <w:rsid w:val="5246009B"/>
    <w:rsid w:val="524730AB"/>
    <w:rsid w:val="524816D8"/>
    <w:rsid w:val="5253273C"/>
    <w:rsid w:val="525A7F6F"/>
    <w:rsid w:val="5268268C"/>
    <w:rsid w:val="527C6137"/>
    <w:rsid w:val="527E5A0B"/>
    <w:rsid w:val="52974D1F"/>
    <w:rsid w:val="529B480F"/>
    <w:rsid w:val="529E7326"/>
    <w:rsid w:val="52B753C1"/>
    <w:rsid w:val="52BC083F"/>
    <w:rsid w:val="52CB00F8"/>
    <w:rsid w:val="52D4387D"/>
    <w:rsid w:val="52DF11EA"/>
    <w:rsid w:val="52DF1CC0"/>
    <w:rsid w:val="52E35BCB"/>
    <w:rsid w:val="52EF6615"/>
    <w:rsid w:val="52F42171"/>
    <w:rsid w:val="52F61524"/>
    <w:rsid w:val="52F65EE9"/>
    <w:rsid w:val="53066D0F"/>
    <w:rsid w:val="5311062D"/>
    <w:rsid w:val="53114AD1"/>
    <w:rsid w:val="53147604"/>
    <w:rsid w:val="53163E96"/>
    <w:rsid w:val="531D3476"/>
    <w:rsid w:val="531F46B0"/>
    <w:rsid w:val="53262E18"/>
    <w:rsid w:val="532742F5"/>
    <w:rsid w:val="53292F0F"/>
    <w:rsid w:val="533646AD"/>
    <w:rsid w:val="533911DE"/>
    <w:rsid w:val="534053B7"/>
    <w:rsid w:val="53452D39"/>
    <w:rsid w:val="5354676C"/>
    <w:rsid w:val="536270DB"/>
    <w:rsid w:val="536410A5"/>
    <w:rsid w:val="536C4892"/>
    <w:rsid w:val="536E3CD2"/>
    <w:rsid w:val="537B63EF"/>
    <w:rsid w:val="538F119C"/>
    <w:rsid w:val="5396687F"/>
    <w:rsid w:val="5398661A"/>
    <w:rsid w:val="539A6875"/>
    <w:rsid w:val="53A374B0"/>
    <w:rsid w:val="53AA2401"/>
    <w:rsid w:val="53AC6653"/>
    <w:rsid w:val="53B024DB"/>
    <w:rsid w:val="53B12EB6"/>
    <w:rsid w:val="53B2087E"/>
    <w:rsid w:val="53B2326A"/>
    <w:rsid w:val="53B37937"/>
    <w:rsid w:val="53BB4A3D"/>
    <w:rsid w:val="53CB204F"/>
    <w:rsid w:val="53DA1174"/>
    <w:rsid w:val="53DA60D8"/>
    <w:rsid w:val="53E2021C"/>
    <w:rsid w:val="53E21FCA"/>
    <w:rsid w:val="53E350D7"/>
    <w:rsid w:val="53E43F94"/>
    <w:rsid w:val="53E64970"/>
    <w:rsid w:val="53E7438C"/>
    <w:rsid w:val="53F561A1"/>
    <w:rsid w:val="53F817ED"/>
    <w:rsid w:val="53FB308C"/>
    <w:rsid w:val="53FB3961"/>
    <w:rsid w:val="54280325"/>
    <w:rsid w:val="54323D39"/>
    <w:rsid w:val="54342031"/>
    <w:rsid w:val="54396A84"/>
    <w:rsid w:val="543D5452"/>
    <w:rsid w:val="54407500"/>
    <w:rsid w:val="5444538C"/>
    <w:rsid w:val="54493DF7"/>
    <w:rsid w:val="544A2FED"/>
    <w:rsid w:val="545E0939"/>
    <w:rsid w:val="546359FE"/>
    <w:rsid w:val="54670EB2"/>
    <w:rsid w:val="546A12EF"/>
    <w:rsid w:val="546E4E8B"/>
    <w:rsid w:val="54745423"/>
    <w:rsid w:val="5475511D"/>
    <w:rsid w:val="5480281E"/>
    <w:rsid w:val="5483555B"/>
    <w:rsid w:val="5486504B"/>
    <w:rsid w:val="548E0DBE"/>
    <w:rsid w:val="5490291E"/>
    <w:rsid w:val="549F3398"/>
    <w:rsid w:val="54C33BA9"/>
    <w:rsid w:val="54CB1A87"/>
    <w:rsid w:val="54CB47F7"/>
    <w:rsid w:val="54CF6D6B"/>
    <w:rsid w:val="54D37F81"/>
    <w:rsid w:val="54D77655"/>
    <w:rsid w:val="54D827A3"/>
    <w:rsid w:val="54D97C92"/>
    <w:rsid w:val="54DC4C6B"/>
    <w:rsid w:val="54DE406C"/>
    <w:rsid w:val="54DF33AD"/>
    <w:rsid w:val="54E1224C"/>
    <w:rsid w:val="54E23FD5"/>
    <w:rsid w:val="54EA7388"/>
    <w:rsid w:val="54EB1352"/>
    <w:rsid w:val="54F16968"/>
    <w:rsid w:val="54F44C64"/>
    <w:rsid w:val="5500185A"/>
    <w:rsid w:val="55006BAB"/>
    <w:rsid w:val="55052414"/>
    <w:rsid w:val="5507618C"/>
    <w:rsid w:val="550E412C"/>
    <w:rsid w:val="550F5041"/>
    <w:rsid w:val="5511700B"/>
    <w:rsid w:val="5518141A"/>
    <w:rsid w:val="55205D67"/>
    <w:rsid w:val="552503C0"/>
    <w:rsid w:val="55326F81"/>
    <w:rsid w:val="55364A1A"/>
    <w:rsid w:val="55540735"/>
    <w:rsid w:val="55592760"/>
    <w:rsid w:val="555A7BA1"/>
    <w:rsid w:val="555B6B00"/>
    <w:rsid w:val="555E131C"/>
    <w:rsid w:val="5563538C"/>
    <w:rsid w:val="556829A3"/>
    <w:rsid w:val="556A0B5D"/>
    <w:rsid w:val="556E620B"/>
    <w:rsid w:val="55782BE6"/>
    <w:rsid w:val="55801DCE"/>
    <w:rsid w:val="55845FC9"/>
    <w:rsid w:val="55872E29"/>
    <w:rsid w:val="55945546"/>
    <w:rsid w:val="5597567E"/>
    <w:rsid w:val="559B0682"/>
    <w:rsid w:val="55AF05D2"/>
    <w:rsid w:val="55CF5188"/>
    <w:rsid w:val="55D10548"/>
    <w:rsid w:val="55D34BE5"/>
    <w:rsid w:val="55D3606E"/>
    <w:rsid w:val="55D379B6"/>
    <w:rsid w:val="55D63DB0"/>
    <w:rsid w:val="55DB13C7"/>
    <w:rsid w:val="55DB3175"/>
    <w:rsid w:val="55E0078B"/>
    <w:rsid w:val="55E42029"/>
    <w:rsid w:val="55EF09CE"/>
    <w:rsid w:val="55F66200"/>
    <w:rsid w:val="55F85AD5"/>
    <w:rsid w:val="55FA7A9F"/>
    <w:rsid w:val="56071A66"/>
    <w:rsid w:val="56073F6A"/>
    <w:rsid w:val="561641AD"/>
    <w:rsid w:val="561F7505"/>
    <w:rsid w:val="562465E2"/>
    <w:rsid w:val="562C277F"/>
    <w:rsid w:val="564156CE"/>
    <w:rsid w:val="564231F4"/>
    <w:rsid w:val="56460F02"/>
    <w:rsid w:val="564E7DEA"/>
    <w:rsid w:val="56554CD5"/>
    <w:rsid w:val="5661682E"/>
    <w:rsid w:val="56625644"/>
    <w:rsid w:val="5663384B"/>
    <w:rsid w:val="566409BC"/>
    <w:rsid w:val="568630E0"/>
    <w:rsid w:val="56886086"/>
    <w:rsid w:val="568D0C89"/>
    <w:rsid w:val="568E6439"/>
    <w:rsid w:val="569104A8"/>
    <w:rsid w:val="56956FAC"/>
    <w:rsid w:val="569752EE"/>
    <w:rsid w:val="56AD3471"/>
    <w:rsid w:val="56B624FB"/>
    <w:rsid w:val="56C500AD"/>
    <w:rsid w:val="56C524F2"/>
    <w:rsid w:val="56CF2CD9"/>
    <w:rsid w:val="56D33CE9"/>
    <w:rsid w:val="56D53139"/>
    <w:rsid w:val="56D77998"/>
    <w:rsid w:val="56E34EF7"/>
    <w:rsid w:val="56E802D9"/>
    <w:rsid w:val="56EE13DA"/>
    <w:rsid w:val="56F711D3"/>
    <w:rsid w:val="56FE672C"/>
    <w:rsid w:val="56FF2CB3"/>
    <w:rsid w:val="56FF5F77"/>
    <w:rsid w:val="57062473"/>
    <w:rsid w:val="57064221"/>
    <w:rsid w:val="570967DB"/>
    <w:rsid w:val="570A0970"/>
    <w:rsid w:val="57364B06"/>
    <w:rsid w:val="574A15A8"/>
    <w:rsid w:val="574F1930"/>
    <w:rsid w:val="575146BB"/>
    <w:rsid w:val="57534543"/>
    <w:rsid w:val="576405CC"/>
    <w:rsid w:val="576D42A0"/>
    <w:rsid w:val="577A5B49"/>
    <w:rsid w:val="577D0987"/>
    <w:rsid w:val="577D14ED"/>
    <w:rsid w:val="577D5302"/>
    <w:rsid w:val="578320CF"/>
    <w:rsid w:val="57833AC4"/>
    <w:rsid w:val="57893085"/>
    <w:rsid w:val="578D0DDE"/>
    <w:rsid w:val="57931F59"/>
    <w:rsid w:val="579A27D3"/>
    <w:rsid w:val="57A60C5A"/>
    <w:rsid w:val="57A777B2"/>
    <w:rsid w:val="57AD1ABB"/>
    <w:rsid w:val="57AF477F"/>
    <w:rsid w:val="57B63E99"/>
    <w:rsid w:val="57BC753C"/>
    <w:rsid w:val="57BD5CD5"/>
    <w:rsid w:val="57C4284A"/>
    <w:rsid w:val="57C53081"/>
    <w:rsid w:val="57D30DE8"/>
    <w:rsid w:val="57D60097"/>
    <w:rsid w:val="57D92442"/>
    <w:rsid w:val="57DB745C"/>
    <w:rsid w:val="57DC551D"/>
    <w:rsid w:val="57E176C8"/>
    <w:rsid w:val="57F10C0E"/>
    <w:rsid w:val="57F549C2"/>
    <w:rsid w:val="58003366"/>
    <w:rsid w:val="58020E8D"/>
    <w:rsid w:val="580746F5"/>
    <w:rsid w:val="580B5F93"/>
    <w:rsid w:val="58184BBF"/>
    <w:rsid w:val="581B5AAA"/>
    <w:rsid w:val="581E277E"/>
    <w:rsid w:val="581F6FB2"/>
    <w:rsid w:val="5822606F"/>
    <w:rsid w:val="582B2191"/>
    <w:rsid w:val="58334720"/>
    <w:rsid w:val="583A23D4"/>
    <w:rsid w:val="583F0717"/>
    <w:rsid w:val="584A31A7"/>
    <w:rsid w:val="584E7C2E"/>
    <w:rsid w:val="584F287E"/>
    <w:rsid w:val="585600C5"/>
    <w:rsid w:val="585C0CFA"/>
    <w:rsid w:val="585C67F2"/>
    <w:rsid w:val="585D48B9"/>
    <w:rsid w:val="586821D1"/>
    <w:rsid w:val="586F29F6"/>
    <w:rsid w:val="58782EFD"/>
    <w:rsid w:val="58793156"/>
    <w:rsid w:val="587A4EC7"/>
    <w:rsid w:val="587D0513"/>
    <w:rsid w:val="58810003"/>
    <w:rsid w:val="58896EB8"/>
    <w:rsid w:val="5898517A"/>
    <w:rsid w:val="58A75590"/>
    <w:rsid w:val="58B247DE"/>
    <w:rsid w:val="58B32187"/>
    <w:rsid w:val="58B57CAD"/>
    <w:rsid w:val="58CB5722"/>
    <w:rsid w:val="58D00F8B"/>
    <w:rsid w:val="58D520FD"/>
    <w:rsid w:val="58D82053"/>
    <w:rsid w:val="58ED7447"/>
    <w:rsid w:val="58F503D5"/>
    <w:rsid w:val="59017396"/>
    <w:rsid w:val="59097FF9"/>
    <w:rsid w:val="59142C25"/>
    <w:rsid w:val="5917019C"/>
    <w:rsid w:val="592310BA"/>
    <w:rsid w:val="592604A5"/>
    <w:rsid w:val="592E6C4D"/>
    <w:rsid w:val="592F7A5F"/>
    <w:rsid w:val="59330727"/>
    <w:rsid w:val="593A645E"/>
    <w:rsid w:val="594337BC"/>
    <w:rsid w:val="594745B1"/>
    <w:rsid w:val="594778C1"/>
    <w:rsid w:val="595E20F3"/>
    <w:rsid w:val="596140F4"/>
    <w:rsid w:val="596C2A61"/>
    <w:rsid w:val="59752179"/>
    <w:rsid w:val="597F4213"/>
    <w:rsid w:val="598220BE"/>
    <w:rsid w:val="59823F7A"/>
    <w:rsid w:val="59831B59"/>
    <w:rsid w:val="59945AEF"/>
    <w:rsid w:val="59A2217E"/>
    <w:rsid w:val="59A56B6D"/>
    <w:rsid w:val="59AC7302"/>
    <w:rsid w:val="59AD4E28"/>
    <w:rsid w:val="59B63CDD"/>
    <w:rsid w:val="59B85CA7"/>
    <w:rsid w:val="59BB2ACD"/>
    <w:rsid w:val="59BC0D74"/>
    <w:rsid w:val="59C42A07"/>
    <w:rsid w:val="59C75F2B"/>
    <w:rsid w:val="59CA6FB3"/>
    <w:rsid w:val="59D25D69"/>
    <w:rsid w:val="59D44313"/>
    <w:rsid w:val="59D76373"/>
    <w:rsid w:val="59D979CB"/>
    <w:rsid w:val="59E06FAB"/>
    <w:rsid w:val="59E1211E"/>
    <w:rsid w:val="59E352E3"/>
    <w:rsid w:val="59EF7044"/>
    <w:rsid w:val="59F42A57"/>
    <w:rsid w:val="59FD190B"/>
    <w:rsid w:val="5A011185"/>
    <w:rsid w:val="5A087A2E"/>
    <w:rsid w:val="5A0C1B4F"/>
    <w:rsid w:val="5A1425E2"/>
    <w:rsid w:val="5A1A50F9"/>
    <w:rsid w:val="5A1B7231"/>
    <w:rsid w:val="5A225816"/>
    <w:rsid w:val="5A27205D"/>
    <w:rsid w:val="5A287271"/>
    <w:rsid w:val="5A3410A5"/>
    <w:rsid w:val="5A382944"/>
    <w:rsid w:val="5A3A397B"/>
    <w:rsid w:val="5A4C544B"/>
    <w:rsid w:val="5A594224"/>
    <w:rsid w:val="5A5B4884"/>
    <w:rsid w:val="5A5D684E"/>
    <w:rsid w:val="5A632844"/>
    <w:rsid w:val="5A6574B1"/>
    <w:rsid w:val="5A6A4AC7"/>
    <w:rsid w:val="5A6B71D7"/>
    <w:rsid w:val="5A6C60F1"/>
    <w:rsid w:val="5A6E28DF"/>
    <w:rsid w:val="5A70097E"/>
    <w:rsid w:val="5A746520"/>
    <w:rsid w:val="5A7616BE"/>
    <w:rsid w:val="5A8042EB"/>
    <w:rsid w:val="5A867381"/>
    <w:rsid w:val="5A880EFE"/>
    <w:rsid w:val="5A8D6E0C"/>
    <w:rsid w:val="5A995289"/>
    <w:rsid w:val="5A9E7DED"/>
    <w:rsid w:val="5AA141EC"/>
    <w:rsid w:val="5AA63D51"/>
    <w:rsid w:val="5AAE0E58"/>
    <w:rsid w:val="5AB13AE4"/>
    <w:rsid w:val="5AB3738E"/>
    <w:rsid w:val="5AB81CD6"/>
    <w:rsid w:val="5ABB5323"/>
    <w:rsid w:val="5AC24903"/>
    <w:rsid w:val="5AC664DB"/>
    <w:rsid w:val="5AC925F5"/>
    <w:rsid w:val="5ACE14FA"/>
    <w:rsid w:val="5AD20FEA"/>
    <w:rsid w:val="5AD84282"/>
    <w:rsid w:val="5AD85ED5"/>
    <w:rsid w:val="5AE4717C"/>
    <w:rsid w:val="5AE974DD"/>
    <w:rsid w:val="5AF32D0E"/>
    <w:rsid w:val="5AFC13C0"/>
    <w:rsid w:val="5B1511CE"/>
    <w:rsid w:val="5B152C85"/>
    <w:rsid w:val="5B1B30A7"/>
    <w:rsid w:val="5B1E4C71"/>
    <w:rsid w:val="5B22798A"/>
    <w:rsid w:val="5B331E3F"/>
    <w:rsid w:val="5B3C5EFE"/>
    <w:rsid w:val="5B4433AF"/>
    <w:rsid w:val="5B47755D"/>
    <w:rsid w:val="5B4B23CB"/>
    <w:rsid w:val="5B4E4A6A"/>
    <w:rsid w:val="5B515455"/>
    <w:rsid w:val="5B57504B"/>
    <w:rsid w:val="5B5C49B4"/>
    <w:rsid w:val="5B67008B"/>
    <w:rsid w:val="5B6C5E29"/>
    <w:rsid w:val="5B7200D7"/>
    <w:rsid w:val="5B765E19"/>
    <w:rsid w:val="5B7A63DB"/>
    <w:rsid w:val="5B7E704A"/>
    <w:rsid w:val="5B860ECF"/>
    <w:rsid w:val="5B862E70"/>
    <w:rsid w:val="5B915EEE"/>
    <w:rsid w:val="5B932C4D"/>
    <w:rsid w:val="5B9718EC"/>
    <w:rsid w:val="5B9D4333"/>
    <w:rsid w:val="5B9F4B3C"/>
    <w:rsid w:val="5BA34735"/>
    <w:rsid w:val="5BA43456"/>
    <w:rsid w:val="5BBF782B"/>
    <w:rsid w:val="5BC052E6"/>
    <w:rsid w:val="5BC528FD"/>
    <w:rsid w:val="5BC621D1"/>
    <w:rsid w:val="5BCF63A9"/>
    <w:rsid w:val="5BD668B8"/>
    <w:rsid w:val="5BD75843"/>
    <w:rsid w:val="5BE014E5"/>
    <w:rsid w:val="5BE34B31"/>
    <w:rsid w:val="5BE80399"/>
    <w:rsid w:val="5BF233C2"/>
    <w:rsid w:val="5BF562A3"/>
    <w:rsid w:val="5BF771A0"/>
    <w:rsid w:val="5C050F4B"/>
    <w:rsid w:val="5C091EB9"/>
    <w:rsid w:val="5C0C3C52"/>
    <w:rsid w:val="5C100DF7"/>
    <w:rsid w:val="5C137226"/>
    <w:rsid w:val="5C1C34B2"/>
    <w:rsid w:val="5C1D7BD9"/>
    <w:rsid w:val="5C3242F4"/>
    <w:rsid w:val="5C367357"/>
    <w:rsid w:val="5C3929A3"/>
    <w:rsid w:val="5C447CC6"/>
    <w:rsid w:val="5C465FD5"/>
    <w:rsid w:val="5C497514"/>
    <w:rsid w:val="5C4A5FFF"/>
    <w:rsid w:val="5C4E56D8"/>
    <w:rsid w:val="5C594DF3"/>
    <w:rsid w:val="5C5E240A"/>
    <w:rsid w:val="5C652640"/>
    <w:rsid w:val="5C6739B4"/>
    <w:rsid w:val="5C677510"/>
    <w:rsid w:val="5C6907D3"/>
    <w:rsid w:val="5C6914DA"/>
    <w:rsid w:val="5C6C7704"/>
    <w:rsid w:val="5C793B79"/>
    <w:rsid w:val="5C7C4D5B"/>
    <w:rsid w:val="5C8207EE"/>
    <w:rsid w:val="5C8C4460"/>
    <w:rsid w:val="5C8C6F77"/>
    <w:rsid w:val="5C9127DF"/>
    <w:rsid w:val="5C961BA3"/>
    <w:rsid w:val="5CA00C74"/>
    <w:rsid w:val="5CB3368C"/>
    <w:rsid w:val="5CB84210"/>
    <w:rsid w:val="5CBD1826"/>
    <w:rsid w:val="5CBF559E"/>
    <w:rsid w:val="5CC418F3"/>
    <w:rsid w:val="5CC650C2"/>
    <w:rsid w:val="5CCB1FD5"/>
    <w:rsid w:val="5CD526CC"/>
    <w:rsid w:val="5CDC6150"/>
    <w:rsid w:val="5CDD3C76"/>
    <w:rsid w:val="5CE51A19"/>
    <w:rsid w:val="5CE71084"/>
    <w:rsid w:val="5CE84AF5"/>
    <w:rsid w:val="5CFB5EAA"/>
    <w:rsid w:val="5D0137A2"/>
    <w:rsid w:val="5D020F11"/>
    <w:rsid w:val="5D047455"/>
    <w:rsid w:val="5D0603DD"/>
    <w:rsid w:val="5D0615C7"/>
    <w:rsid w:val="5D064F7B"/>
    <w:rsid w:val="5D0B433F"/>
    <w:rsid w:val="5D0D6309"/>
    <w:rsid w:val="5D0D78A3"/>
    <w:rsid w:val="5D2418A5"/>
    <w:rsid w:val="5D26561D"/>
    <w:rsid w:val="5D276544"/>
    <w:rsid w:val="5D300DE3"/>
    <w:rsid w:val="5D415FB3"/>
    <w:rsid w:val="5D43395E"/>
    <w:rsid w:val="5D445AA3"/>
    <w:rsid w:val="5D454033"/>
    <w:rsid w:val="5D4E6EAC"/>
    <w:rsid w:val="5D5E0913"/>
    <w:rsid w:val="5D6972B8"/>
    <w:rsid w:val="5D6F0D72"/>
    <w:rsid w:val="5D7D7A37"/>
    <w:rsid w:val="5D81578F"/>
    <w:rsid w:val="5D871691"/>
    <w:rsid w:val="5D8919B3"/>
    <w:rsid w:val="5D8A04B2"/>
    <w:rsid w:val="5D8E030D"/>
    <w:rsid w:val="5D9407D9"/>
    <w:rsid w:val="5DA43C29"/>
    <w:rsid w:val="5DA822F9"/>
    <w:rsid w:val="5DAD189A"/>
    <w:rsid w:val="5DB325F7"/>
    <w:rsid w:val="5DB42C29"/>
    <w:rsid w:val="5DC170F4"/>
    <w:rsid w:val="5DC82230"/>
    <w:rsid w:val="5DE352BC"/>
    <w:rsid w:val="5DE84681"/>
    <w:rsid w:val="5DEC179E"/>
    <w:rsid w:val="5DEC1E56"/>
    <w:rsid w:val="5DED1414"/>
    <w:rsid w:val="5DF94AE0"/>
    <w:rsid w:val="5DFB6228"/>
    <w:rsid w:val="5DFF67A7"/>
    <w:rsid w:val="5E082F75"/>
    <w:rsid w:val="5E086AD1"/>
    <w:rsid w:val="5E0C65C1"/>
    <w:rsid w:val="5E0E058B"/>
    <w:rsid w:val="5E115985"/>
    <w:rsid w:val="5E1B6804"/>
    <w:rsid w:val="5E1E00A2"/>
    <w:rsid w:val="5E1F5F21"/>
    <w:rsid w:val="5E20156C"/>
    <w:rsid w:val="5E203F23"/>
    <w:rsid w:val="5E2854C2"/>
    <w:rsid w:val="5E473A9D"/>
    <w:rsid w:val="5E4E6BDA"/>
    <w:rsid w:val="5E580E61"/>
    <w:rsid w:val="5E5A37D0"/>
    <w:rsid w:val="5E5B6875"/>
    <w:rsid w:val="5E5E2B95"/>
    <w:rsid w:val="5E5F0DE7"/>
    <w:rsid w:val="5E7510C7"/>
    <w:rsid w:val="5E7A5C21"/>
    <w:rsid w:val="5E824AD5"/>
    <w:rsid w:val="5E8C001D"/>
    <w:rsid w:val="5E9071F2"/>
    <w:rsid w:val="5E9A1E1F"/>
    <w:rsid w:val="5E9B5B97"/>
    <w:rsid w:val="5E9C5CCD"/>
    <w:rsid w:val="5E9C6071"/>
    <w:rsid w:val="5EA66A16"/>
    <w:rsid w:val="5EB346BA"/>
    <w:rsid w:val="5EBC30A5"/>
    <w:rsid w:val="5EBC6C37"/>
    <w:rsid w:val="5EC37085"/>
    <w:rsid w:val="5EC92704"/>
    <w:rsid w:val="5ECB022A"/>
    <w:rsid w:val="5ED058AB"/>
    <w:rsid w:val="5ED5039F"/>
    <w:rsid w:val="5ED54DF8"/>
    <w:rsid w:val="5EDF7832"/>
    <w:rsid w:val="5EEE084A"/>
    <w:rsid w:val="5EEE5CC7"/>
    <w:rsid w:val="5EF552A7"/>
    <w:rsid w:val="5EFD23AE"/>
    <w:rsid w:val="5F0454EA"/>
    <w:rsid w:val="5F0910F0"/>
    <w:rsid w:val="5F1514A5"/>
    <w:rsid w:val="5F1D47FE"/>
    <w:rsid w:val="5F2142EE"/>
    <w:rsid w:val="5F2516CE"/>
    <w:rsid w:val="5F2A32FA"/>
    <w:rsid w:val="5F2E07B9"/>
    <w:rsid w:val="5F3202A9"/>
    <w:rsid w:val="5F354E83"/>
    <w:rsid w:val="5F3E265E"/>
    <w:rsid w:val="5F41229A"/>
    <w:rsid w:val="5F4F0E5B"/>
    <w:rsid w:val="5F5A6ED0"/>
    <w:rsid w:val="5F6C0F93"/>
    <w:rsid w:val="5F7C16B5"/>
    <w:rsid w:val="5F9F0231"/>
    <w:rsid w:val="5FAC535B"/>
    <w:rsid w:val="5FB06ECE"/>
    <w:rsid w:val="5FC4513D"/>
    <w:rsid w:val="5FC5111D"/>
    <w:rsid w:val="5FC823B2"/>
    <w:rsid w:val="5FC829BC"/>
    <w:rsid w:val="5FCF5AF8"/>
    <w:rsid w:val="5FD21144"/>
    <w:rsid w:val="5FD534B7"/>
    <w:rsid w:val="5FD710A4"/>
    <w:rsid w:val="5FDA449D"/>
    <w:rsid w:val="5FDF3861"/>
    <w:rsid w:val="5FEF6D0C"/>
    <w:rsid w:val="5FF217E7"/>
    <w:rsid w:val="5FF94923"/>
    <w:rsid w:val="5FFB4B3F"/>
    <w:rsid w:val="60030E42"/>
    <w:rsid w:val="60040738"/>
    <w:rsid w:val="600B265B"/>
    <w:rsid w:val="600B4656"/>
    <w:rsid w:val="6017749F"/>
    <w:rsid w:val="601A260B"/>
    <w:rsid w:val="601E1665"/>
    <w:rsid w:val="601F2ECF"/>
    <w:rsid w:val="60275934"/>
    <w:rsid w:val="60302C77"/>
    <w:rsid w:val="60332DFA"/>
    <w:rsid w:val="6037536A"/>
    <w:rsid w:val="60400949"/>
    <w:rsid w:val="6041262A"/>
    <w:rsid w:val="60427649"/>
    <w:rsid w:val="60563192"/>
    <w:rsid w:val="60681AA9"/>
    <w:rsid w:val="606A235B"/>
    <w:rsid w:val="607607BB"/>
    <w:rsid w:val="607E12CC"/>
    <w:rsid w:val="60934D78"/>
    <w:rsid w:val="609A4358"/>
    <w:rsid w:val="60A800F7"/>
    <w:rsid w:val="60A82ACE"/>
    <w:rsid w:val="60B13450"/>
    <w:rsid w:val="60BE5450"/>
    <w:rsid w:val="60C14270"/>
    <w:rsid w:val="60C30678"/>
    <w:rsid w:val="60C33A12"/>
    <w:rsid w:val="60C969EB"/>
    <w:rsid w:val="60CA0FFB"/>
    <w:rsid w:val="60D85296"/>
    <w:rsid w:val="60D93842"/>
    <w:rsid w:val="60E27AAD"/>
    <w:rsid w:val="60EF48AF"/>
    <w:rsid w:val="60EF64AA"/>
    <w:rsid w:val="60F5158E"/>
    <w:rsid w:val="61045C75"/>
    <w:rsid w:val="6110440B"/>
    <w:rsid w:val="611115A4"/>
    <w:rsid w:val="61131A15"/>
    <w:rsid w:val="61171BB9"/>
    <w:rsid w:val="61181721"/>
    <w:rsid w:val="611F4533"/>
    <w:rsid w:val="612130AA"/>
    <w:rsid w:val="612E684E"/>
    <w:rsid w:val="612F4BB4"/>
    <w:rsid w:val="61333031"/>
    <w:rsid w:val="6137458B"/>
    <w:rsid w:val="613A0F30"/>
    <w:rsid w:val="6142054C"/>
    <w:rsid w:val="61437985"/>
    <w:rsid w:val="61453B98"/>
    <w:rsid w:val="61480B6C"/>
    <w:rsid w:val="61481242"/>
    <w:rsid w:val="61490800"/>
    <w:rsid w:val="614E6EF1"/>
    <w:rsid w:val="615362B5"/>
    <w:rsid w:val="61570117"/>
    <w:rsid w:val="61585C3E"/>
    <w:rsid w:val="61587D6F"/>
    <w:rsid w:val="615D2AE2"/>
    <w:rsid w:val="616109D2"/>
    <w:rsid w:val="6162088F"/>
    <w:rsid w:val="61675787"/>
    <w:rsid w:val="6170330B"/>
    <w:rsid w:val="61720E31"/>
    <w:rsid w:val="617304B8"/>
    <w:rsid w:val="617D1968"/>
    <w:rsid w:val="61892FAA"/>
    <w:rsid w:val="61946007"/>
    <w:rsid w:val="61960A21"/>
    <w:rsid w:val="619A2136"/>
    <w:rsid w:val="619B6651"/>
    <w:rsid w:val="619C73CA"/>
    <w:rsid w:val="619F14FA"/>
    <w:rsid w:val="61A30FEA"/>
    <w:rsid w:val="61A44D62"/>
    <w:rsid w:val="61AA48CA"/>
    <w:rsid w:val="61AD26CB"/>
    <w:rsid w:val="61AD486F"/>
    <w:rsid w:val="61AE68E0"/>
    <w:rsid w:val="61BC3E5A"/>
    <w:rsid w:val="61BF2475"/>
    <w:rsid w:val="61BF394A"/>
    <w:rsid w:val="61C328EC"/>
    <w:rsid w:val="61C55405"/>
    <w:rsid w:val="61CA6B5B"/>
    <w:rsid w:val="61CB5DAE"/>
    <w:rsid w:val="61D4389A"/>
    <w:rsid w:val="61D75A5F"/>
    <w:rsid w:val="61DE6513"/>
    <w:rsid w:val="61E138C1"/>
    <w:rsid w:val="61E6537B"/>
    <w:rsid w:val="61E91FBC"/>
    <w:rsid w:val="61F1668F"/>
    <w:rsid w:val="61F730E4"/>
    <w:rsid w:val="6204509B"/>
    <w:rsid w:val="620572E1"/>
    <w:rsid w:val="62092E18"/>
    <w:rsid w:val="620A1069"/>
    <w:rsid w:val="620B4B39"/>
    <w:rsid w:val="620F6680"/>
    <w:rsid w:val="621041A6"/>
    <w:rsid w:val="62105B23"/>
    <w:rsid w:val="621230F7"/>
    <w:rsid w:val="62126170"/>
    <w:rsid w:val="62173E09"/>
    <w:rsid w:val="62227352"/>
    <w:rsid w:val="62234015"/>
    <w:rsid w:val="622540F5"/>
    <w:rsid w:val="62375BD7"/>
    <w:rsid w:val="62376FDC"/>
    <w:rsid w:val="623944F7"/>
    <w:rsid w:val="623F09C9"/>
    <w:rsid w:val="6243457B"/>
    <w:rsid w:val="625B18C5"/>
    <w:rsid w:val="625E7005"/>
    <w:rsid w:val="62937DAF"/>
    <w:rsid w:val="6299419B"/>
    <w:rsid w:val="629B764B"/>
    <w:rsid w:val="629C5241"/>
    <w:rsid w:val="62A019CE"/>
    <w:rsid w:val="62A212A2"/>
    <w:rsid w:val="62A639B7"/>
    <w:rsid w:val="62A72D5C"/>
    <w:rsid w:val="62A81FE3"/>
    <w:rsid w:val="62BB571C"/>
    <w:rsid w:val="62BE3C02"/>
    <w:rsid w:val="62C27B96"/>
    <w:rsid w:val="62C47C8A"/>
    <w:rsid w:val="62CA25A7"/>
    <w:rsid w:val="62D358FF"/>
    <w:rsid w:val="62D90A3C"/>
    <w:rsid w:val="62DB2A06"/>
    <w:rsid w:val="62DD2A39"/>
    <w:rsid w:val="62DD43E4"/>
    <w:rsid w:val="62DE38C5"/>
    <w:rsid w:val="62E0445B"/>
    <w:rsid w:val="62E95123"/>
    <w:rsid w:val="62F15D85"/>
    <w:rsid w:val="62FB09B2"/>
    <w:rsid w:val="63073C66"/>
    <w:rsid w:val="630758A8"/>
    <w:rsid w:val="630D181D"/>
    <w:rsid w:val="63161C90"/>
    <w:rsid w:val="63173061"/>
    <w:rsid w:val="63185A08"/>
    <w:rsid w:val="63217604"/>
    <w:rsid w:val="63234407"/>
    <w:rsid w:val="6325289E"/>
    <w:rsid w:val="63261B4E"/>
    <w:rsid w:val="6329551F"/>
    <w:rsid w:val="63302D52"/>
    <w:rsid w:val="63357BE8"/>
    <w:rsid w:val="63463A84"/>
    <w:rsid w:val="63497970"/>
    <w:rsid w:val="6356208C"/>
    <w:rsid w:val="63682FA0"/>
    <w:rsid w:val="63690012"/>
    <w:rsid w:val="636C7B02"/>
    <w:rsid w:val="636E721D"/>
    <w:rsid w:val="636F2951"/>
    <w:rsid w:val="63754C08"/>
    <w:rsid w:val="63837E6B"/>
    <w:rsid w:val="63841957"/>
    <w:rsid w:val="63870498"/>
    <w:rsid w:val="638B442C"/>
    <w:rsid w:val="63A35DFC"/>
    <w:rsid w:val="63A47EF9"/>
    <w:rsid w:val="63A92582"/>
    <w:rsid w:val="63BA262B"/>
    <w:rsid w:val="63BA6C0F"/>
    <w:rsid w:val="63C219F2"/>
    <w:rsid w:val="63CB4828"/>
    <w:rsid w:val="63CB4F91"/>
    <w:rsid w:val="63D87AEE"/>
    <w:rsid w:val="63E41600"/>
    <w:rsid w:val="640502D6"/>
    <w:rsid w:val="640B10C9"/>
    <w:rsid w:val="640C15AE"/>
    <w:rsid w:val="640D6A68"/>
    <w:rsid w:val="64104931"/>
    <w:rsid w:val="6416248E"/>
    <w:rsid w:val="64245B16"/>
    <w:rsid w:val="643B7C00"/>
    <w:rsid w:val="6443445A"/>
    <w:rsid w:val="644C3BBB"/>
    <w:rsid w:val="645760BC"/>
    <w:rsid w:val="646031C3"/>
    <w:rsid w:val="64631FBB"/>
    <w:rsid w:val="64632E4C"/>
    <w:rsid w:val="6464443C"/>
    <w:rsid w:val="646B7DB9"/>
    <w:rsid w:val="64795D5D"/>
    <w:rsid w:val="649E1F3D"/>
    <w:rsid w:val="64A21774"/>
    <w:rsid w:val="64A37553"/>
    <w:rsid w:val="64A47615"/>
    <w:rsid w:val="64A919F5"/>
    <w:rsid w:val="64AC3537"/>
    <w:rsid w:val="64B21544"/>
    <w:rsid w:val="64C450B7"/>
    <w:rsid w:val="64CD637E"/>
    <w:rsid w:val="64CE23F1"/>
    <w:rsid w:val="64CF659A"/>
    <w:rsid w:val="64D63485"/>
    <w:rsid w:val="64D771FD"/>
    <w:rsid w:val="64D836A1"/>
    <w:rsid w:val="64DD2A65"/>
    <w:rsid w:val="64E21E2A"/>
    <w:rsid w:val="64E9765C"/>
    <w:rsid w:val="64EB797F"/>
    <w:rsid w:val="64EC0669"/>
    <w:rsid w:val="64FC3FAA"/>
    <w:rsid w:val="65003C4E"/>
    <w:rsid w:val="65013FCF"/>
    <w:rsid w:val="65030F77"/>
    <w:rsid w:val="650370F5"/>
    <w:rsid w:val="650B601A"/>
    <w:rsid w:val="651143FC"/>
    <w:rsid w:val="65150451"/>
    <w:rsid w:val="65185F2C"/>
    <w:rsid w:val="6523084E"/>
    <w:rsid w:val="65315F2C"/>
    <w:rsid w:val="653D3504"/>
    <w:rsid w:val="653F690B"/>
    <w:rsid w:val="654169F1"/>
    <w:rsid w:val="654725D5"/>
    <w:rsid w:val="654A3A58"/>
    <w:rsid w:val="654D6C3E"/>
    <w:rsid w:val="655645C6"/>
    <w:rsid w:val="655D7702"/>
    <w:rsid w:val="65605444"/>
    <w:rsid w:val="6564182D"/>
    <w:rsid w:val="656B4B25"/>
    <w:rsid w:val="656C2A61"/>
    <w:rsid w:val="656C5B97"/>
    <w:rsid w:val="65717652"/>
    <w:rsid w:val="65753285"/>
    <w:rsid w:val="657D4F95"/>
    <w:rsid w:val="657F3B1C"/>
    <w:rsid w:val="658E0EDE"/>
    <w:rsid w:val="6598698C"/>
    <w:rsid w:val="659956BB"/>
    <w:rsid w:val="65A0182C"/>
    <w:rsid w:val="65A45331"/>
    <w:rsid w:val="65B0017A"/>
    <w:rsid w:val="65B006F3"/>
    <w:rsid w:val="65B8702E"/>
    <w:rsid w:val="65BE17D5"/>
    <w:rsid w:val="65C2639F"/>
    <w:rsid w:val="65C4315A"/>
    <w:rsid w:val="65C6799D"/>
    <w:rsid w:val="65D8712E"/>
    <w:rsid w:val="65DE32B0"/>
    <w:rsid w:val="65EA1620"/>
    <w:rsid w:val="65F22540"/>
    <w:rsid w:val="65F8567D"/>
    <w:rsid w:val="65FA13F5"/>
    <w:rsid w:val="65FC33BF"/>
    <w:rsid w:val="65FC6F1B"/>
    <w:rsid w:val="66017D8B"/>
    <w:rsid w:val="66076484"/>
    <w:rsid w:val="660B5EF5"/>
    <w:rsid w:val="660D707D"/>
    <w:rsid w:val="66124991"/>
    <w:rsid w:val="661A55F3"/>
    <w:rsid w:val="661D5DA5"/>
    <w:rsid w:val="662B5A52"/>
    <w:rsid w:val="662E109F"/>
    <w:rsid w:val="66304E17"/>
    <w:rsid w:val="66372649"/>
    <w:rsid w:val="66373AC9"/>
    <w:rsid w:val="66391F1D"/>
    <w:rsid w:val="66442670"/>
    <w:rsid w:val="6646789A"/>
    <w:rsid w:val="664D3C1B"/>
    <w:rsid w:val="66522FDF"/>
    <w:rsid w:val="66660838"/>
    <w:rsid w:val="66696111"/>
    <w:rsid w:val="66725C36"/>
    <w:rsid w:val="667473F9"/>
    <w:rsid w:val="66777ED5"/>
    <w:rsid w:val="66794A10"/>
    <w:rsid w:val="668F5CC8"/>
    <w:rsid w:val="6692162D"/>
    <w:rsid w:val="669B4986"/>
    <w:rsid w:val="669C24AC"/>
    <w:rsid w:val="66A17AC3"/>
    <w:rsid w:val="66A82BFF"/>
    <w:rsid w:val="66AB26EF"/>
    <w:rsid w:val="66AC6DE4"/>
    <w:rsid w:val="66C13CC1"/>
    <w:rsid w:val="66C5227A"/>
    <w:rsid w:val="66CC3515"/>
    <w:rsid w:val="66E666D7"/>
    <w:rsid w:val="66EE35C6"/>
    <w:rsid w:val="66EF0A82"/>
    <w:rsid w:val="66F525EC"/>
    <w:rsid w:val="66F81DD8"/>
    <w:rsid w:val="66FC2F4B"/>
    <w:rsid w:val="67030892"/>
    <w:rsid w:val="67085DEE"/>
    <w:rsid w:val="6709264E"/>
    <w:rsid w:val="670F2C7E"/>
    <w:rsid w:val="670F6246"/>
    <w:rsid w:val="671B4180"/>
    <w:rsid w:val="671D6009"/>
    <w:rsid w:val="67242BCD"/>
    <w:rsid w:val="672707F7"/>
    <w:rsid w:val="672C55DE"/>
    <w:rsid w:val="67316974"/>
    <w:rsid w:val="673646AF"/>
    <w:rsid w:val="6736645D"/>
    <w:rsid w:val="67396A50"/>
    <w:rsid w:val="67397CFB"/>
    <w:rsid w:val="67426961"/>
    <w:rsid w:val="674638BA"/>
    <w:rsid w:val="67487CFE"/>
    <w:rsid w:val="6753700F"/>
    <w:rsid w:val="67560823"/>
    <w:rsid w:val="67675587"/>
    <w:rsid w:val="676F7BC1"/>
    <w:rsid w:val="67786A75"/>
    <w:rsid w:val="677A27ED"/>
    <w:rsid w:val="677B3578"/>
    <w:rsid w:val="678216A2"/>
    <w:rsid w:val="678664F7"/>
    <w:rsid w:val="67867686"/>
    <w:rsid w:val="67962EA7"/>
    <w:rsid w:val="679715F1"/>
    <w:rsid w:val="67A07D7A"/>
    <w:rsid w:val="67A41618"/>
    <w:rsid w:val="67A57073"/>
    <w:rsid w:val="67AF79D7"/>
    <w:rsid w:val="67B0620F"/>
    <w:rsid w:val="67B552EB"/>
    <w:rsid w:val="67BD5BE5"/>
    <w:rsid w:val="67C10C60"/>
    <w:rsid w:val="67C910CC"/>
    <w:rsid w:val="67CE421E"/>
    <w:rsid w:val="67D51728"/>
    <w:rsid w:val="67D77C40"/>
    <w:rsid w:val="67DB0013"/>
    <w:rsid w:val="67DC0BEF"/>
    <w:rsid w:val="67DF4006"/>
    <w:rsid w:val="67EE4D30"/>
    <w:rsid w:val="67F545ED"/>
    <w:rsid w:val="68130ECA"/>
    <w:rsid w:val="6816044D"/>
    <w:rsid w:val="68167ECC"/>
    <w:rsid w:val="68182006"/>
    <w:rsid w:val="681E586F"/>
    <w:rsid w:val="68242759"/>
    <w:rsid w:val="683A01CF"/>
    <w:rsid w:val="683D62F8"/>
    <w:rsid w:val="68423F80"/>
    <w:rsid w:val="686672AE"/>
    <w:rsid w:val="686F7E78"/>
    <w:rsid w:val="68752292"/>
    <w:rsid w:val="687559C3"/>
    <w:rsid w:val="68763722"/>
    <w:rsid w:val="68831B76"/>
    <w:rsid w:val="688651C2"/>
    <w:rsid w:val="68894B76"/>
    <w:rsid w:val="688E1E10"/>
    <w:rsid w:val="689E42BA"/>
    <w:rsid w:val="68AC6E04"/>
    <w:rsid w:val="68AD2A5E"/>
    <w:rsid w:val="68B910F3"/>
    <w:rsid w:val="68C55FA5"/>
    <w:rsid w:val="68C750A1"/>
    <w:rsid w:val="68CF6B69"/>
    <w:rsid w:val="68D85C67"/>
    <w:rsid w:val="68DC443B"/>
    <w:rsid w:val="68E5013A"/>
    <w:rsid w:val="69012A9A"/>
    <w:rsid w:val="69045544"/>
    <w:rsid w:val="690507DD"/>
    <w:rsid w:val="692073C4"/>
    <w:rsid w:val="69232A11"/>
    <w:rsid w:val="692A1FF1"/>
    <w:rsid w:val="692C68C2"/>
    <w:rsid w:val="692F13B6"/>
    <w:rsid w:val="69313380"/>
    <w:rsid w:val="693B41FE"/>
    <w:rsid w:val="69403A10"/>
    <w:rsid w:val="69420049"/>
    <w:rsid w:val="69433F4E"/>
    <w:rsid w:val="69472BA3"/>
    <w:rsid w:val="69474951"/>
    <w:rsid w:val="694E17D6"/>
    <w:rsid w:val="69555DE0"/>
    <w:rsid w:val="69561413"/>
    <w:rsid w:val="695732E1"/>
    <w:rsid w:val="695A0B28"/>
    <w:rsid w:val="69632F7D"/>
    <w:rsid w:val="696848C8"/>
    <w:rsid w:val="69713A6A"/>
    <w:rsid w:val="69724608"/>
    <w:rsid w:val="69735317"/>
    <w:rsid w:val="69765DC1"/>
    <w:rsid w:val="697B0A9F"/>
    <w:rsid w:val="697E0611"/>
    <w:rsid w:val="698279A8"/>
    <w:rsid w:val="698A2A90"/>
    <w:rsid w:val="698F53B6"/>
    <w:rsid w:val="69944FDF"/>
    <w:rsid w:val="699911C9"/>
    <w:rsid w:val="699F29DF"/>
    <w:rsid w:val="69A26986"/>
    <w:rsid w:val="69A63977"/>
    <w:rsid w:val="69A91168"/>
    <w:rsid w:val="69AE2A5F"/>
    <w:rsid w:val="69AE49D0"/>
    <w:rsid w:val="69B12712"/>
    <w:rsid w:val="69B66837"/>
    <w:rsid w:val="69BD10B7"/>
    <w:rsid w:val="69C91211"/>
    <w:rsid w:val="69CC0354"/>
    <w:rsid w:val="69D01A3D"/>
    <w:rsid w:val="69D21488"/>
    <w:rsid w:val="69D63F27"/>
    <w:rsid w:val="69D6683B"/>
    <w:rsid w:val="69DC778F"/>
    <w:rsid w:val="69E8497D"/>
    <w:rsid w:val="69F745C9"/>
    <w:rsid w:val="69F81786"/>
    <w:rsid w:val="69F85C3D"/>
    <w:rsid w:val="6A004555"/>
    <w:rsid w:val="6A040A94"/>
    <w:rsid w:val="6A0942FC"/>
    <w:rsid w:val="6A106E8A"/>
    <w:rsid w:val="6A153327"/>
    <w:rsid w:val="6A212445"/>
    <w:rsid w:val="6A271DFC"/>
    <w:rsid w:val="6A2B316F"/>
    <w:rsid w:val="6A2E5B11"/>
    <w:rsid w:val="6A365888"/>
    <w:rsid w:val="6A3C022E"/>
    <w:rsid w:val="6A4316AC"/>
    <w:rsid w:val="6A4D243B"/>
    <w:rsid w:val="6A531ADF"/>
    <w:rsid w:val="6A554E4C"/>
    <w:rsid w:val="6A5F3F1C"/>
    <w:rsid w:val="6A603ECB"/>
    <w:rsid w:val="6A6142D2"/>
    <w:rsid w:val="6A650DF5"/>
    <w:rsid w:val="6A6908F7"/>
    <w:rsid w:val="6A697B8D"/>
    <w:rsid w:val="6A6D70B4"/>
    <w:rsid w:val="6A706675"/>
    <w:rsid w:val="6A7259FE"/>
    <w:rsid w:val="6A7A2F95"/>
    <w:rsid w:val="6A8219B9"/>
    <w:rsid w:val="6A883CBC"/>
    <w:rsid w:val="6A8F19B3"/>
    <w:rsid w:val="6A933BC6"/>
    <w:rsid w:val="6AAB0F10"/>
    <w:rsid w:val="6AAB53B4"/>
    <w:rsid w:val="6AAD1319"/>
    <w:rsid w:val="6AB852EF"/>
    <w:rsid w:val="6AC02C0D"/>
    <w:rsid w:val="6AC124E1"/>
    <w:rsid w:val="6AC65D4A"/>
    <w:rsid w:val="6ACA3A8C"/>
    <w:rsid w:val="6ACE4215"/>
    <w:rsid w:val="6ACE55B2"/>
    <w:rsid w:val="6ACF2E50"/>
    <w:rsid w:val="6AD1346E"/>
    <w:rsid w:val="6AD63AA6"/>
    <w:rsid w:val="6ADA17F5"/>
    <w:rsid w:val="6ADB30BA"/>
    <w:rsid w:val="6AE52674"/>
    <w:rsid w:val="6AEB755E"/>
    <w:rsid w:val="6AEC50EA"/>
    <w:rsid w:val="6AED1528"/>
    <w:rsid w:val="6AF63580"/>
    <w:rsid w:val="6AFC7D1E"/>
    <w:rsid w:val="6B040620"/>
    <w:rsid w:val="6B0434D2"/>
    <w:rsid w:val="6B0D1A17"/>
    <w:rsid w:val="6B105217"/>
    <w:rsid w:val="6B120F8F"/>
    <w:rsid w:val="6B166CD1"/>
    <w:rsid w:val="6B172843"/>
    <w:rsid w:val="6B211A7E"/>
    <w:rsid w:val="6B282560"/>
    <w:rsid w:val="6B321631"/>
    <w:rsid w:val="6B340495"/>
    <w:rsid w:val="6B362ECF"/>
    <w:rsid w:val="6B39632F"/>
    <w:rsid w:val="6B454E15"/>
    <w:rsid w:val="6B4563DA"/>
    <w:rsid w:val="6B467980"/>
    <w:rsid w:val="6B4725E4"/>
    <w:rsid w:val="6B4C3C8E"/>
    <w:rsid w:val="6B4C7A9D"/>
    <w:rsid w:val="6B52582F"/>
    <w:rsid w:val="6B5B46E4"/>
    <w:rsid w:val="6B5D451A"/>
    <w:rsid w:val="6B653CDD"/>
    <w:rsid w:val="6B6C0BD7"/>
    <w:rsid w:val="6B861D33"/>
    <w:rsid w:val="6B8754D9"/>
    <w:rsid w:val="6B8856C9"/>
    <w:rsid w:val="6B92124F"/>
    <w:rsid w:val="6B9809FC"/>
    <w:rsid w:val="6B985938"/>
    <w:rsid w:val="6B9D6AAA"/>
    <w:rsid w:val="6BA240C1"/>
    <w:rsid w:val="6BA53BB1"/>
    <w:rsid w:val="6BB40F59"/>
    <w:rsid w:val="6BBA3B00"/>
    <w:rsid w:val="6BBD539F"/>
    <w:rsid w:val="6BC9173E"/>
    <w:rsid w:val="6BCA186A"/>
    <w:rsid w:val="6BD43F03"/>
    <w:rsid w:val="6BD61FBC"/>
    <w:rsid w:val="6BD9106E"/>
    <w:rsid w:val="6BEB55A1"/>
    <w:rsid w:val="6BF259A2"/>
    <w:rsid w:val="6BFB7A4E"/>
    <w:rsid w:val="6C042F6A"/>
    <w:rsid w:val="6C287B41"/>
    <w:rsid w:val="6C29246F"/>
    <w:rsid w:val="6C3118E9"/>
    <w:rsid w:val="6C3210B3"/>
    <w:rsid w:val="6C345DAE"/>
    <w:rsid w:val="6C3515EA"/>
    <w:rsid w:val="6C354F35"/>
    <w:rsid w:val="6C39522C"/>
    <w:rsid w:val="6C3E5941"/>
    <w:rsid w:val="6C3F7B62"/>
    <w:rsid w:val="6C475E65"/>
    <w:rsid w:val="6C511FF3"/>
    <w:rsid w:val="6C517895"/>
    <w:rsid w:val="6C5A0E3F"/>
    <w:rsid w:val="6C645C08"/>
    <w:rsid w:val="6C6475C8"/>
    <w:rsid w:val="6C871509"/>
    <w:rsid w:val="6C924135"/>
    <w:rsid w:val="6C944351"/>
    <w:rsid w:val="6C94690E"/>
    <w:rsid w:val="6CA43E69"/>
    <w:rsid w:val="6CAE4CE7"/>
    <w:rsid w:val="6CB26586"/>
    <w:rsid w:val="6CBA18DE"/>
    <w:rsid w:val="6CC462B9"/>
    <w:rsid w:val="6CC82B7C"/>
    <w:rsid w:val="6CD32EF3"/>
    <w:rsid w:val="6CD56718"/>
    <w:rsid w:val="6CE0240E"/>
    <w:rsid w:val="6CE32BE3"/>
    <w:rsid w:val="6CE575F5"/>
    <w:rsid w:val="6CFE17CB"/>
    <w:rsid w:val="6D077B18"/>
    <w:rsid w:val="6D0B73F9"/>
    <w:rsid w:val="6D102ACF"/>
    <w:rsid w:val="6D1322BA"/>
    <w:rsid w:val="6D1A43BD"/>
    <w:rsid w:val="6D202C18"/>
    <w:rsid w:val="6D250BC3"/>
    <w:rsid w:val="6D282CEC"/>
    <w:rsid w:val="6D3C0C16"/>
    <w:rsid w:val="6D4A4A10"/>
    <w:rsid w:val="6D570DE2"/>
    <w:rsid w:val="6D592EA5"/>
    <w:rsid w:val="6D633D24"/>
    <w:rsid w:val="6D6766DA"/>
    <w:rsid w:val="6D68133A"/>
    <w:rsid w:val="6D761CA9"/>
    <w:rsid w:val="6D8B60BA"/>
    <w:rsid w:val="6D8E05A2"/>
    <w:rsid w:val="6D8E6111"/>
    <w:rsid w:val="6D8E6FF3"/>
    <w:rsid w:val="6D944587"/>
    <w:rsid w:val="6D946D06"/>
    <w:rsid w:val="6D982231"/>
    <w:rsid w:val="6D9B526C"/>
    <w:rsid w:val="6D9F3ECB"/>
    <w:rsid w:val="6DAD31F1"/>
    <w:rsid w:val="6DB6259F"/>
    <w:rsid w:val="6DCA35D8"/>
    <w:rsid w:val="6DD00593"/>
    <w:rsid w:val="6DD42637"/>
    <w:rsid w:val="6DDD5884"/>
    <w:rsid w:val="6DEC0A05"/>
    <w:rsid w:val="6DF162FB"/>
    <w:rsid w:val="6DF90CBB"/>
    <w:rsid w:val="6DFB5D0A"/>
    <w:rsid w:val="6DFF52C9"/>
    <w:rsid w:val="6E153270"/>
    <w:rsid w:val="6E16505E"/>
    <w:rsid w:val="6E1766CB"/>
    <w:rsid w:val="6E1E5293"/>
    <w:rsid w:val="6E292877"/>
    <w:rsid w:val="6E2E0A64"/>
    <w:rsid w:val="6E3F31EF"/>
    <w:rsid w:val="6E3F617E"/>
    <w:rsid w:val="6E4B4B1B"/>
    <w:rsid w:val="6E4B5340"/>
    <w:rsid w:val="6E602011"/>
    <w:rsid w:val="6E6B061F"/>
    <w:rsid w:val="6E7A30D3"/>
    <w:rsid w:val="6E7A566E"/>
    <w:rsid w:val="6E957F0D"/>
    <w:rsid w:val="6E9B3373"/>
    <w:rsid w:val="6EA1252C"/>
    <w:rsid w:val="6EA2262A"/>
    <w:rsid w:val="6EA40C64"/>
    <w:rsid w:val="6EB95C23"/>
    <w:rsid w:val="6EBA5601"/>
    <w:rsid w:val="6EBA7973"/>
    <w:rsid w:val="6EC72090"/>
    <w:rsid w:val="6ED722D3"/>
    <w:rsid w:val="6EDA6267"/>
    <w:rsid w:val="6EDD3662"/>
    <w:rsid w:val="6EE12907"/>
    <w:rsid w:val="6EE72327"/>
    <w:rsid w:val="6EE7766E"/>
    <w:rsid w:val="6EF27CED"/>
    <w:rsid w:val="6EF528DD"/>
    <w:rsid w:val="6EF65FD8"/>
    <w:rsid w:val="6EFD384E"/>
    <w:rsid w:val="6EFF5273"/>
    <w:rsid w:val="6F0230C8"/>
    <w:rsid w:val="6F03131A"/>
    <w:rsid w:val="6F034CBF"/>
    <w:rsid w:val="6F0737B2"/>
    <w:rsid w:val="6F086931"/>
    <w:rsid w:val="6F1A48B6"/>
    <w:rsid w:val="6F2A4AF9"/>
    <w:rsid w:val="6F2B0871"/>
    <w:rsid w:val="6F347726"/>
    <w:rsid w:val="6F386EED"/>
    <w:rsid w:val="6F3A2ED5"/>
    <w:rsid w:val="6F3C482C"/>
    <w:rsid w:val="6F5F7B1D"/>
    <w:rsid w:val="6F6216C1"/>
    <w:rsid w:val="6F7264A0"/>
    <w:rsid w:val="6F742218"/>
    <w:rsid w:val="6F7775C6"/>
    <w:rsid w:val="6F7E589F"/>
    <w:rsid w:val="6F810567"/>
    <w:rsid w:val="6F8B0C35"/>
    <w:rsid w:val="6F8E2B96"/>
    <w:rsid w:val="6F9B3AFB"/>
    <w:rsid w:val="6F9B77A5"/>
    <w:rsid w:val="6F9F48C0"/>
    <w:rsid w:val="6FA10B33"/>
    <w:rsid w:val="6FA83C70"/>
    <w:rsid w:val="6FB82179"/>
    <w:rsid w:val="6FB940CF"/>
    <w:rsid w:val="6FBB2BF0"/>
    <w:rsid w:val="6FC54822"/>
    <w:rsid w:val="6FC64095"/>
    <w:rsid w:val="6FCC1A57"/>
    <w:rsid w:val="6FCC3E02"/>
    <w:rsid w:val="6FD545AA"/>
    <w:rsid w:val="6FE068B4"/>
    <w:rsid w:val="6FE54EC4"/>
    <w:rsid w:val="6FEC6D51"/>
    <w:rsid w:val="6FEF2BB1"/>
    <w:rsid w:val="6FFA66D3"/>
    <w:rsid w:val="700169C6"/>
    <w:rsid w:val="700609AE"/>
    <w:rsid w:val="701557A9"/>
    <w:rsid w:val="70161521"/>
    <w:rsid w:val="7016507D"/>
    <w:rsid w:val="70182193"/>
    <w:rsid w:val="70190E74"/>
    <w:rsid w:val="701F6208"/>
    <w:rsid w:val="702C0672"/>
    <w:rsid w:val="70335316"/>
    <w:rsid w:val="7036571F"/>
    <w:rsid w:val="703B1CAA"/>
    <w:rsid w:val="703C2F7E"/>
    <w:rsid w:val="70453BB5"/>
    <w:rsid w:val="704907AD"/>
    <w:rsid w:val="704A147E"/>
    <w:rsid w:val="704B1F45"/>
    <w:rsid w:val="704D7F88"/>
    <w:rsid w:val="704E1CE9"/>
    <w:rsid w:val="70572B45"/>
    <w:rsid w:val="70574CFC"/>
    <w:rsid w:val="70587444"/>
    <w:rsid w:val="705D4A5A"/>
    <w:rsid w:val="705F4C76"/>
    <w:rsid w:val="70710506"/>
    <w:rsid w:val="70722D0E"/>
    <w:rsid w:val="70730722"/>
    <w:rsid w:val="708B7958"/>
    <w:rsid w:val="708F6BDE"/>
    <w:rsid w:val="70901563"/>
    <w:rsid w:val="709A7A5C"/>
    <w:rsid w:val="709F1517"/>
    <w:rsid w:val="709F441D"/>
    <w:rsid w:val="70A64653"/>
    <w:rsid w:val="70A86E26"/>
    <w:rsid w:val="70AB6673"/>
    <w:rsid w:val="70AB7EBB"/>
    <w:rsid w:val="70AD6562"/>
    <w:rsid w:val="70B10C5A"/>
    <w:rsid w:val="70B1389B"/>
    <w:rsid w:val="70C806FB"/>
    <w:rsid w:val="70D86EF4"/>
    <w:rsid w:val="70D94A29"/>
    <w:rsid w:val="70DC6209"/>
    <w:rsid w:val="70E707C8"/>
    <w:rsid w:val="70F62C32"/>
    <w:rsid w:val="70FA723B"/>
    <w:rsid w:val="70FF32A6"/>
    <w:rsid w:val="70FF5692"/>
    <w:rsid w:val="7101188A"/>
    <w:rsid w:val="71014351"/>
    <w:rsid w:val="710650F2"/>
    <w:rsid w:val="710E0644"/>
    <w:rsid w:val="71153B22"/>
    <w:rsid w:val="711E77C1"/>
    <w:rsid w:val="71245578"/>
    <w:rsid w:val="71265822"/>
    <w:rsid w:val="71296A8F"/>
    <w:rsid w:val="71384D7B"/>
    <w:rsid w:val="713D5101"/>
    <w:rsid w:val="71431EA2"/>
    <w:rsid w:val="714B22D6"/>
    <w:rsid w:val="714D2D21"/>
    <w:rsid w:val="71502811"/>
    <w:rsid w:val="71560375"/>
    <w:rsid w:val="71576884"/>
    <w:rsid w:val="71593474"/>
    <w:rsid w:val="716B18C0"/>
    <w:rsid w:val="716D1443"/>
    <w:rsid w:val="7172092D"/>
    <w:rsid w:val="71766FF5"/>
    <w:rsid w:val="717947BA"/>
    <w:rsid w:val="717D5FE0"/>
    <w:rsid w:val="718030F6"/>
    <w:rsid w:val="718F6E95"/>
    <w:rsid w:val="719E788E"/>
    <w:rsid w:val="71A36556"/>
    <w:rsid w:val="71AA6B6D"/>
    <w:rsid w:val="71AB7A47"/>
    <w:rsid w:val="71B0505E"/>
    <w:rsid w:val="71B62216"/>
    <w:rsid w:val="71B92164"/>
    <w:rsid w:val="71BA3885"/>
    <w:rsid w:val="71C11026"/>
    <w:rsid w:val="71C64881"/>
    <w:rsid w:val="71C72AD3"/>
    <w:rsid w:val="71C86FD9"/>
    <w:rsid w:val="71CC7F1B"/>
    <w:rsid w:val="71CF573E"/>
    <w:rsid w:val="71CF7BDA"/>
    <w:rsid w:val="71D8293B"/>
    <w:rsid w:val="71D84CE0"/>
    <w:rsid w:val="71DA2540"/>
    <w:rsid w:val="71DB032D"/>
    <w:rsid w:val="71E43272"/>
    <w:rsid w:val="71E47A7A"/>
    <w:rsid w:val="71E63C08"/>
    <w:rsid w:val="71E74120"/>
    <w:rsid w:val="71EA3606"/>
    <w:rsid w:val="71F2526B"/>
    <w:rsid w:val="71F716FC"/>
    <w:rsid w:val="71F96A05"/>
    <w:rsid w:val="71FD51A9"/>
    <w:rsid w:val="71FE7481"/>
    <w:rsid w:val="72007A43"/>
    <w:rsid w:val="7201041D"/>
    <w:rsid w:val="72031631"/>
    <w:rsid w:val="72112814"/>
    <w:rsid w:val="72135D18"/>
    <w:rsid w:val="72235642"/>
    <w:rsid w:val="722872EA"/>
    <w:rsid w:val="722E3C71"/>
    <w:rsid w:val="723A173B"/>
    <w:rsid w:val="723D4A67"/>
    <w:rsid w:val="723F6B0D"/>
    <w:rsid w:val="724834E8"/>
    <w:rsid w:val="724D637A"/>
    <w:rsid w:val="724E6D50"/>
    <w:rsid w:val="725325B9"/>
    <w:rsid w:val="72542256"/>
    <w:rsid w:val="72561FA2"/>
    <w:rsid w:val="725B7B36"/>
    <w:rsid w:val="725D51E5"/>
    <w:rsid w:val="726A423C"/>
    <w:rsid w:val="72730565"/>
    <w:rsid w:val="72734272"/>
    <w:rsid w:val="727448FC"/>
    <w:rsid w:val="72785B7B"/>
    <w:rsid w:val="727B0C2E"/>
    <w:rsid w:val="72842772"/>
    <w:rsid w:val="72850298"/>
    <w:rsid w:val="72873175"/>
    <w:rsid w:val="728E7986"/>
    <w:rsid w:val="72901348"/>
    <w:rsid w:val="7294266F"/>
    <w:rsid w:val="72A050D2"/>
    <w:rsid w:val="72A11576"/>
    <w:rsid w:val="72A904FF"/>
    <w:rsid w:val="72AA7CFF"/>
    <w:rsid w:val="72B00338"/>
    <w:rsid w:val="72B017B9"/>
    <w:rsid w:val="72B648F6"/>
    <w:rsid w:val="72BB3CBA"/>
    <w:rsid w:val="72BE4B05"/>
    <w:rsid w:val="72C1593C"/>
    <w:rsid w:val="72C70F82"/>
    <w:rsid w:val="72CC5EC7"/>
    <w:rsid w:val="72CE1C3F"/>
    <w:rsid w:val="72D60AF4"/>
    <w:rsid w:val="72E15E16"/>
    <w:rsid w:val="72E23271"/>
    <w:rsid w:val="72E81028"/>
    <w:rsid w:val="72E943E8"/>
    <w:rsid w:val="72EC482D"/>
    <w:rsid w:val="72EE3D5E"/>
    <w:rsid w:val="72F62875"/>
    <w:rsid w:val="72F830D5"/>
    <w:rsid w:val="72FA159E"/>
    <w:rsid w:val="731004AA"/>
    <w:rsid w:val="73133AF6"/>
    <w:rsid w:val="73137F9A"/>
    <w:rsid w:val="731D6B1E"/>
    <w:rsid w:val="73223D39"/>
    <w:rsid w:val="73321351"/>
    <w:rsid w:val="73334EBD"/>
    <w:rsid w:val="7338355D"/>
    <w:rsid w:val="733846A1"/>
    <w:rsid w:val="73432CD7"/>
    <w:rsid w:val="73490DEB"/>
    <w:rsid w:val="734B14E2"/>
    <w:rsid w:val="735760D9"/>
    <w:rsid w:val="73577E87"/>
    <w:rsid w:val="73595473"/>
    <w:rsid w:val="737165D2"/>
    <w:rsid w:val="73740A39"/>
    <w:rsid w:val="737857EC"/>
    <w:rsid w:val="737A1DC7"/>
    <w:rsid w:val="737C169B"/>
    <w:rsid w:val="737C44A1"/>
    <w:rsid w:val="73812E5B"/>
    <w:rsid w:val="738642C8"/>
    <w:rsid w:val="738F33AD"/>
    <w:rsid w:val="73903399"/>
    <w:rsid w:val="739938DB"/>
    <w:rsid w:val="739E1612"/>
    <w:rsid w:val="73A80F5D"/>
    <w:rsid w:val="73AC2C12"/>
    <w:rsid w:val="73B13A3B"/>
    <w:rsid w:val="73B54BAD"/>
    <w:rsid w:val="73BD63FA"/>
    <w:rsid w:val="73BF47DD"/>
    <w:rsid w:val="73CB00D3"/>
    <w:rsid w:val="73D2750D"/>
    <w:rsid w:val="73D46CB4"/>
    <w:rsid w:val="73DC65DE"/>
    <w:rsid w:val="73E05FCA"/>
    <w:rsid w:val="73E26FCE"/>
    <w:rsid w:val="73E579B0"/>
    <w:rsid w:val="73F513C3"/>
    <w:rsid w:val="74021D3F"/>
    <w:rsid w:val="740D2781"/>
    <w:rsid w:val="741A19D0"/>
    <w:rsid w:val="74253AE1"/>
    <w:rsid w:val="742A5A43"/>
    <w:rsid w:val="742B38CB"/>
    <w:rsid w:val="742E508B"/>
    <w:rsid w:val="7434641A"/>
    <w:rsid w:val="743957DE"/>
    <w:rsid w:val="743D2C52"/>
    <w:rsid w:val="744745D0"/>
    <w:rsid w:val="744D4DE6"/>
    <w:rsid w:val="74583EB6"/>
    <w:rsid w:val="745A6B40"/>
    <w:rsid w:val="745E5245"/>
    <w:rsid w:val="74642F67"/>
    <w:rsid w:val="746740F9"/>
    <w:rsid w:val="746A1E3C"/>
    <w:rsid w:val="74714889"/>
    <w:rsid w:val="74744A68"/>
    <w:rsid w:val="74783CBA"/>
    <w:rsid w:val="74820F33"/>
    <w:rsid w:val="748A7DE8"/>
    <w:rsid w:val="748F408B"/>
    <w:rsid w:val="74A30465"/>
    <w:rsid w:val="74A94712"/>
    <w:rsid w:val="74B4532F"/>
    <w:rsid w:val="74B9247B"/>
    <w:rsid w:val="74BE7A92"/>
    <w:rsid w:val="74C1539A"/>
    <w:rsid w:val="74D06143"/>
    <w:rsid w:val="74D55507"/>
    <w:rsid w:val="74D6302D"/>
    <w:rsid w:val="74DA4735"/>
    <w:rsid w:val="74E0413E"/>
    <w:rsid w:val="74E87D9A"/>
    <w:rsid w:val="74E97E9C"/>
    <w:rsid w:val="74FE0F26"/>
    <w:rsid w:val="74FE750E"/>
    <w:rsid w:val="74FF2584"/>
    <w:rsid w:val="7501034C"/>
    <w:rsid w:val="75041948"/>
    <w:rsid w:val="750C5737"/>
    <w:rsid w:val="750D2EF3"/>
    <w:rsid w:val="750F340D"/>
    <w:rsid w:val="7533691D"/>
    <w:rsid w:val="75353E63"/>
    <w:rsid w:val="75426C6E"/>
    <w:rsid w:val="754461E9"/>
    <w:rsid w:val="754B3A1B"/>
    <w:rsid w:val="755521A4"/>
    <w:rsid w:val="755C3876"/>
    <w:rsid w:val="75614FED"/>
    <w:rsid w:val="75691218"/>
    <w:rsid w:val="756B06CB"/>
    <w:rsid w:val="757545F4"/>
    <w:rsid w:val="7578720E"/>
    <w:rsid w:val="757C486A"/>
    <w:rsid w:val="75851546"/>
    <w:rsid w:val="75862CA5"/>
    <w:rsid w:val="758D0E68"/>
    <w:rsid w:val="758D7B90"/>
    <w:rsid w:val="759C7F87"/>
    <w:rsid w:val="759D3C03"/>
    <w:rsid w:val="75BC66C7"/>
    <w:rsid w:val="75BF1D13"/>
    <w:rsid w:val="75BF3AC1"/>
    <w:rsid w:val="75C67EBC"/>
    <w:rsid w:val="75C86E1A"/>
    <w:rsid w:val="75CA6F5E"/>
    <w:rsid w:val="75D404E1"/>
    <w:rsid w:val="75E31EA6"/>
    <w:rsid w:val="75E55DBE"/>
    <w:rsid w:val="75F0011F"/>
    <w:rsid w:val="75F06371"/>
    <w:rsid w:val="75F92AF3"/>
    <w:rsid w:val="75F93477"/>
    <w:rsid w:val="760418B7"/>
    <w:rsid w:val="76057036"/>
    <w:rsid w:val="76070366"/>
    <w:rsid w:val="76085468"/>
    <w:rsid w:val="760A5684"/>
    <w:rsid w:val="760F1C6C"/>
    <w:rsid w:val="7619625E"/>
    <w:rsid w:val="761B33ED"/>
    <w:rsid w:val="76277FE4"/>
    <w:rsid w:val="762A7AD4"/>
    <w:rsid w:val="762F4303"/>
    <w:rsid w:val="76360227"/>
    <w:rsid w:val="763D100B"/>
    <w:rsid w:val="763E70DC"/>
    <w:rsid w:val="76406EA8"/>
    <w:rsid w:val="764346F2"/>
    <w:rsid w:val="764C61E8"/>
    <w:rsid w:val="764D541F"/>
    <w:rsid w:val="76564426"/>
    <w:rsid w:val="7662726E"/>
    <w:rsid w:val="766308F1"/>
    <w:rsid w:val="76650B0D"/>
    <w:rsid w:val="76676633"/>
    <w:rsid w:val="7668289F"/>
    <w:rsid w:val="76684159"/>
    <w:rsid w:val="766E2A8E"/>
    <w:rsid w:val="76746911"/>
    <w:rsid w:val="767A1B5E"/>
    <w:rsid w:val="767D0C71"/>
    <w:rsid w:val="76975FE0"/>
    <w:rsid w:val="769907B6"/>
    <w:rsid w:val="769A5F70"/>
    <w:rsid w:val="76A679D1"/>
    <w:rsid w:val="76A74C81"/>
    <w:rsid w:val="76A827A7"/>
    <w:rsid w:val="76B938EE"/>
    <w:rsid w:val="76BC3EBD"/>
    <w:rsid w:val="76C577FD"/>
    <w:rsid w:val="76C75323"/>
    <w:rsid w:val="76D9215D"/>
    <w:rsid w:val="76E51777"/>
    <w:rsid w:val="76EF1037"/>
    <w:rsid w:val="76F105F2"/>
    <w:rsid w:val="76F8372F"/>
    <w:rsid w:val="76FD2AF3"/>
    <w:rsid w:val="770025E3"/>
    <w:rsid w:val="770536B6"/>
    <w:rsid w:val="770A2BDB"/>
    <w:rsid w:val="770C64FD"/>
    <w:rsid w:val="77103BB4"/>
    <w:rsid w:val="77147E3D"/>
    <w:rsid w:val="77170059"/>
    <w:rsid w:val="771F12B2"/>
    <w:rsid w:val="772462D2"/>
    <w:rsid w:val="772605D7"/>
    <w:rsid w:val="772B0910"/>
    <w:rsid w:val="77334767"/>
    <w:rsid w:val="77444A87"/>
    <w:rsid w:val="7746316F"/>
    <w:rsid w:val="774973EE"/>
    <w:rsid w:val="774B1AB0"/>
    <w:rsid w:val="775748F9"/>
    <w:rsid w:val="775F37AE"/>
    <w:rsid w:val="775F555C"/>
    <w:rsid w:val="77602FF7"/>
    <w:rsid w:val="77637F6A"/>
    <w:rsid w:val="77640DC4"/>
    <w:rsid w:val="77642B72"/>
    <w:rsid w:val="776A3E6A"/>
    <w:rsid w:val="776C3B3A"/>
    <w:rsid w:val="777032C5"/>
    <w:rsid w:val="777059BB"/>
    <w:rsid w:val="7774220A"/>
    <w:rsid w:val="77745A0B"/>
    <w:rsid w:val="777466A6"/>
    <w:rsid w:val="777C4360"/>
    <w:rsid w:val="777F348A"/>
    <w:rsid w:val="77813724"/>
    <w:rsid w:val="7782124A"/>
    <w:rsid w:val="77822BFC"/>
    <w:rsid w:val="77930284"/>
    <w:rsid w:val="77961935"/>
    <w:rsid w:val="77972F48"/>
    <w:rsid w:val="779F40DB"/>
    <w:rsid w:val="77BC7D69"/>
    <w:rsid w:val="77C33F0A"/>
    <w:rsid w:val="77C90C27"/>
    <w:rsid w:val="77D57E8F"/>
    <w:rsid w:val="77DA08BE"/>
    <w:rsid w:val="77DE793F"/>
    <w:rsid w:val="77E51F05"/>
    <w:rsid w:val="77F4039A"/>
    <w:rsid w:val="77F42148"/>
    <w:rsid w:val="77F536CF"/>
    <w:rsid w:val="78054355"/>
    <w:rsid w:val="781225CE"/>
    <w:rsid w:val="781D0136"/>
    <w:rsid w:val="781F0AED"/>
    <w:rsid w:val="782C4EFC"/>
    <w:rsid w:val="782D565A"/>
    <w:rsid w:val="78320EC2"/>
    <w:rsid w:val="783229AD"/>
    <w:rsid w:val="783469E8"/>
    <w:rsid w:val="783C589D"/>
    <w:rsid w:val="783F4674"/>
    <w:rsid w:val="784309DA"/>
    <w:rsid w:val="78436C2C"/>
    <w:rsid w:val="784B3C87"/>
    <w:rsid w:val="78540E39"/>
    <w:rsid w:val="78570929"/>
    <w:rsid w:val="78591FAB"/>
    <w:rsid w:val="7860158C"/>
    <w:rsid w:val="786372CE"/>
    <w:rsid w:val="78650C17"/>
    <w:rsid w:val="786848E4"/>
    <w:rsid w:val="786A240A"/>
    <w:rsid w:val="78744057"/>
    <w:rsid w:val="78757261"/>
    <w:rsid w:val="787A3ED4"/>
    <w:rsid w:val="787B0EF3"/>
    <w:rsid w:val="787F47E8"/>
    <w:rsid w:val="788E24B4"/>
    <w:rsid w:val="788F3C1F"/>
    <w:rsid w:val="789106D3"/>
    <w:rsid w:val="78917997"/>
    <w:rsid w:val="78947487"/>
    <w:rsid w:val="789E1D4D"/>
    <w:rsid w:val="789F429B"/>
    <w:rsid w:val="78A22ECA"/>
    <w:rsid w:val="78A23952"/>
    <w:rsid w:val="78A31478"/>
    <w:rsid w:val="78A43B6E"/>
    <w:rsid w:val="78AA0A59"/>
    <w:rsid w:val="78B0416D"/>
    <w:rsid w:val="78B418D7"/>
    <w:rsid w:val="78B52685"/>
    <w:rsid w:val="78B611AB"/>
    <w:rsid w:val="78BB4A72"/>
    <w:rsid w:val="78CE2F07"/>
    <w:rsid w:val="78CF226D"/>
    <w:rsid w:val="78D36201"/>
    <w:rsid w:val="78D45AD6"/>
    <w:rsid w:val="78D83818"/>
    <w:rsid w:val="78D856CF"/>
    <w:rsid w:val="78DA2110"/>
    <w:rsid w:val="78E0091E"/>
    <w:rsid w:val="78E116E3"/>
    <w:rsid w:val="78E21FA1"/>
    <w:rsid w:val="78E7324A"/>
    <w:rsid w:val="78E805F1"/>
    <w:rsid w:val="78EA70A7"/>
    <w:rsid w:val="78EE56C6"/>
    <w:rsid w:val="790877C0"/>
    <w:rsid w:val="7914575A"/>
    <w:rsid w:val="791D122B"/>
    <w:rsid w:val="791D3FDB"/>
    <w:rsid w:val="79294BA1"/>
    <w:rsid w:val="79366790"/>
    <w:rsid w:val="793B5B55"/>
    <w:rsid w:val="794B3FEA"/>
    <w:rsid w:val="794F4242"/>
    <w:rsid w:val="795409C4"/>
    <w:rsid w:val="79672C81"/>
    <w:rsid w:val="7967694A"/>
    <w:rsid w:val="796814F9"/>
    <w:rsid w:val="796B01E8"/>
    <w:rsid w:val="796D17E9"/>
    <w:rsid w:val="797057FE"/>
    <w:rsid w:val="797D31C5"/>
    <w:rsid w:val="797F6345"/>
    <w:rsid w:val="79817A0B"/>
    <w:rsid w:val="798219D5"/>
    <w:rsid w:val="79845BEF"/>
    <w:rsid w:val="798B6ADC"/>
    <w:rsid w:val="79962FB3"/>
    <w:rsid w:val="79A713FE"/>
    <w:rsid w:val="79B83704"/>
    <w:rsid w:val="79BF22E2"/>
    <w:rsid w:val="79C46EB6"/>
    <w:rsid w:val="79C52CAB"/>
    <w:rsid w:val="79C618C2"/>
    <w:rsid w:val="79CC3095"/>
    <w:rsid w:val="79D55FA9"/>
    <w:rsid w:val="79D815F5"/>
    <w:rsid w:val="79D92427"/>
    <w:rsid w:val="79DB010B"/>
    <w:rsid w:val="79E94D5A"/>
    <w:rsid w:val="79ED6158"/>
    <w:rsid w:val="79ED6E4F"/>
    <w:rsid w:val="79F04B91"/>
    <w:rsid w:val="79F226B7"/>
    <w:rsid w:val="79FB6B19"/>
    <w:rsid w:val="7A001B51"/>
    <w:rsid w:val="7A072C51"/>
    <w:rsid w:val="7A07303C"/>
    <w:rsid w:val="7A1331F3"/>
    <w:rsid w:val="7A1545F8"/>
    <w:rsid w:val="7A1F0FD2"/>
    <w:rsid w:val="7A24483B"/>
    <w:rsid w:val="7A256345"/>
    <w:rsid w:val="7A2B3E1B"/>
    <w:rsid w:val="7A2B518E"/>
    <w:rsid w:val="7A3C1B84"/>
    <w:rsid w:val="7A4058A3"/>
    <w:rsid w:val="7A477F63"/>
    <w:rsid w:val="7A4D6A17"/>
    <w:rsid w:val="7A4E2F1F"/>
    <w:rsid w:val="7A500BFC"/>
    <w:rsid w:val="7A5447F9"/>
    <w:rsid w:val="7A620960"/>
    <w:rsid w:val="7A684AAF"/>
    <w:rsid w:val="7A6B2707"/>
    <w:rsid w:val="7A794B87"/>
    <w:rsid w:val="7A7A445B"/>
    <w:rsid w:val="7A887E89"/>
    <w:rsid w:val="7A894752"/>
    <w:rsid w:val="7A8A0B42"/>
    <w:rsid w:val="7A97325F"/>
    <w:rsid w:val="7A98460B"/>
    <w:rsid w:val="7A992BC9"/>
    <w:rsid w:val="7AA17C39"/>
    <w:rsid w:val="7AA40EF3"/>
    <w:rsid w:val="7AAB2866"/>
    <w:rsid w:val="7AB1712B"/>
    <w:rsid w:val="7ABD2CC5"/>
    <w:rsid w:val="7AC0617F"/>
    <w:rsid w:val="7AC566E4"/>
    <w:rsid w:val="7AD324E9"/>
    <w:rsid w:val="7AD85D51"/>
    <w:rsid w:val="7AD918A6"/>
    <w:rsid w:val="7ADF1930"/>
    <w:rsid w:val="7AE446F6"/>
    <w:rsid w:val="7AE85868"/>
    <w:rsid w:val="7AE91D0C"/>
    <w:rsid w:val="7AEC0927"/>
    <w:rsid w:val="7AF20767"/>
    <w:rsid w:val="7AF34939"/>
    <w:rsid w:val="7AF4420D"/>
    <w:rsid w:val="7B0E17E2"/>
    <w:rsid w:val="7B120A9B"/>
    <w:rsid w:val="7B177597"/>
    <w:rsid w:val="7B1C1975"/>
    <w:rsid w:val="7B242D7F"/>
    <w:rsid w:val="7B261FC1"/>
    <w:rsid w:val="7B273A56"/>
    <w:rsid w:val="7B2C39A7"/>
    <w:rsid w:val="7B2E06D9"/>
    <w:rsid w:val="7B382ECC"/>
    <w:rsid w:val="7B3A01F4"/>
    <w:rsid w:val="7B3D2ED1"/>
    <w:rsid w:val="7B3D6D3E"/>
    <w:rsid w:val="7B465427"/>
    <w:rsid w:val="7B4707E1"/>
    <w:rsid w:val="7B476819"/>
    <w:rsid w:val="7B5063FC"/>
    <w:rsid w:val="7B517733"/>
    <w:rsid w:val="7B5F3B77"/>
    <w:rsid w:val="7B6507A8"/>
    <w:rsid w:val="7B6951BB"/>
    <w:rsid w:val="7B6A2721"/>
    <w:rsid w:val="7B6E5D6D"/>
    <w:rsid w:val="7B725253"/>
    <w:rsid w:val="7B784E3E"/>
    <w:rsid w:val="7B7C756B"/>
    <w:rsid w:val="7B7F441F"/>
    <w:rsid w:val="7B811F45"/>
    <w:rsid w:val="7B813885"/>
    <w:rsid w:val="7B8B4B71"/>
    <w:rsid w:val="7B911884"/>
    <w:rsid w:val="7B912106"/>
    <w:rsid w:val="7B914152"/>
    <w:rsid w:val="7B946AAF"/>
    <w:rsid w:val="7B9F47D4"/>
    <w:rsid w:val="7BA67BFD"/>
    <w:rsid w:val="7BA901F2"/>
    <w:rsid w:val="7BAE7699"/>
    <w:rsid w:val="7BB51BEE"/>
    <w:rsid w:val="7BBB2E3E"/>
    <w:rsid w:val="7BBD0AA3"/>
    <w:rsid w:val="7BC10593"/>
    <w:rsid w:val="7BC2255D"/>
    <w:rsid w:val="7BCC2B33"/>
    <w:rsid w:val="7BCD02DC"/>
    <w:rsid w:val="7BCE1DF3"/>
    <w:rsid w:val="7BCE3534"/>
    <w:rsid w:val="7BD77DB7"/>
    <w:rsid w:val="7BDD34FE"/>
    <w:rsid w:val="7BE67256"/>
    <w:rsid w:val="7BE90957"/>
    <w:rsid w:val="7BFB5DC4"/>
    <w:rsid w:val="7C077BA9"/>
    <w:rsid w:val="7C0D6EE9"/>
    <w:rsid w:val="7C0F0231"/>
    <w:rsid w:val="7C1032C9"/>
    <w:rsid w:val="7C122B9D"/>
    <w:rsid w:val="7C134B67"/>
    <w:rsid w:val="7C136915"/>
    <w:rsid w:val="7C224DAA"/>
    <w:rsid w:val="7C280612"/>
    <w:rsid w:val="7C523B48"/>
    <w:rsid w:val="7C5533D1"/>
    <w:rsid w:val="7C5F7DAC"/>
    <w:rsid w:val="7C635AEE"/>
    <w:rsid w:val="7C655EAF"/>
    <w:rsid w:val="7C69673C"/>
    <w:rsid w:val="7C6F57E2"/>
    <w:rsid w:val="7C701FB9"/>
    <w:rsid w:val="7C7278F9"/>
    <w:rsid w:val="7C7524A0"/>
    <w:rsid w:val="7C815F74"/>
    <w:rsid w:val="7C8A0E47"/>
    <w:rsid w:val="7C960611"/>
    <w:rsid w:val="7C9C2DD9"/>
    <w:rsid w:val="7CA13F21"/>
    <w:rsid w:val="7CA26617"/>
    <w:rsid w:val="7CA52FC6"/>
    <w:rsid w:val="7CAF01FB"/>
    <w:rsid w:val="7CB00608"/>
    <w:rsid w:val="7CB974BC"/>
    <w:rsid w:val="7CBB75D8"/>
    <w:rsid w:val="7CBC0505"/>
    <w:rsid w:val="7CBE0F77"/>
    <w:rsid w:val="7CC85951"/>
    <w:rsid w:val="7CCC724B"/>
    <w:rsid w:val="7CCD1206"/>
    <w:rsid w:val="7CD10CAA"/>
    <w:rsid w:val="7CE502B1"/>
    <w:rsid w:val="7CED0682"/>
    <w:rsid w:val="7CF20958"/>
    <w:rsid w:val="7CF57E0E"/>
    <w:rsid w:val="7CFD7A30"/>
    <w:rsid w:val="7D014F10"/>
    <w:rsid w:val="7D173875"/>
    <w:rsid w:val="7D21425A"/>
    <w:rsid w:val="7D231EC9"/>
    <w:rsid w:val="7D2863F0"/>
    <w:rsid w:val="7D2F57E0"/>
    <w:rsid w:val="7D344D95"/>
    <w:rsid w:val="7D4B41F3"/>
    <w:rsid w:val="7D4C3E7E"/>
    <w:rsid w:val="7D4C6582"/>
    <w:rsid w:val="7D4E22FA"/>
    <w:rsid w:val="7D5316BF"/>
    <w:rsid w:val="7D627D20"/>
    <w:rsid w:val="7D6511CD"/>
    <w:rsid w:val="7D6A6293"/>
    <w:rsid w:val="7D715FE9"/>
    <w:rsid w:val="7D746648"/>
    <w:rsid w:val="7D7653AD"/>
    <w:rsid w:val="7D7670C3"/>
    <w:rsid w:val="7D781125"/>
    <w:rsid w:val="7D782ED3"/>
    <w:rsid w:val="7D794641"/>
    <w:rsid w:val="7D7D2765"/>
    <w:rsid w:val="7D7F5021"/>
    <w:rsid w:val="7D8E4414"/>
    <w:rsid w:val="7D8F646F"/>
    <w:rsid w:val="7D9C77C8"/>
    <w:rsid w:val="7DA44071"/>
    <w:rsid w:val="7DA939D5"/>
    <w:rsid w:val="7DB303AF"/>
    <w:rsid w:val="7DB54128"/>
    <w:rsid w:val="7DBD2FDC"/>
    <w:rsid w:val="7DBD4D8A"/>
    <w:rsid w:val="7DD00F61"/>
    <w:rsid w:val="7DD16A88"/>
    <w:rsid w:val="7DD30A52"/>
    <w:rsid w:val="7DD410BB"/>
    <w:rsid w:val="7DE06CCB"/>
    <w:rsid w:val="7DE70059"/>
    <w:rsid w:val="7DEB15FD"/>
    <w:rsid w:val="7DF34ADD"/>
    <w:rsid w:val="7DF6029C"/>
    <w:rsid w:val="7DF67F72"/>
    <w:rsid w:val="7DFB58B2"/>
    <w:rsid w:val="7E087AFC"/>
    <w:rsid w:val="7E10135E"/>
    <w:rsid w:val="7E196EF9"/>
    <w:rsid w:val="7E221091"/>
    <w:rsid w:val="7E2752C1"/>
    <w:rsid w:val="7E2A4B30"/>
    <w:rsid w:val="7E301A00"/>
    <w:rsid w:val="7E3F39F1"/>
    <w:rsid w:val="7E42141E"/>
    <w:rsid w:val="7E471886"/>
    <w:rsid w:val="7E483DC5"/>
    <w:rsid w:val="7E485D5E"/>
    <w:rsid w:val="7E5020A2"/>
    <w:rsid w:val="7E584BC0"/>
    <w:rsid w:val="7E5B1B8E"/>
    <w:rsid w:val="7E693420"/>
    <w:rsid w:val="7E69680B"/>
    <w:rsid w:val="7E6D11BE"/>
    <w:rsid w:val="7E6D67B0"/>
    <w:rsid w:val="7E7B3547"/>
    <w:rsid w:val="7E826F9A"/>
    <w:rsid w:val="7E8A36FC"/>
    <w:rsid w:val="7E9B6173"/>
    <w:rsid w:val="7EA47CF8"/>
    <w:rsid w:val="7EAA17B2"/>
    <w:rsid w:val="7EB51F05"/>
    <w:rsid w:val="7EB53087"/>
    <w:rsid w:val="7EBC14E6"/>
    <w:rsid w:val="7EC327CA"/>
    <w:rsid w:val="7EC468E4"/>
    <w:rsid w:val="7EC837C4"/>
    <w:rsid w:val="7EC93702"/>
    <w:rsid w:val="7ED405DD"/>
    <w:rsid w:val="7ED6672F"/>
    <w:rsid w:val="7EE051D4"/>
    <w:rsid w:val="7EE54599"/>
    <w:rsid w:val="7EEA0AA5"/>
    <w:rsid w:val="7EEA1BAF"/>
    <w:rsid w:val="7EF667A6"/>
    <w:rsid w:val="7EFC4171"/>
    <w:rsid w:val="7F01339C"/>
    <w:rsid w:val="7F030EC3"/>
    <w:rsid w:val="7F0C421B"/>
    <w:rsid w:val="7F0D26DB"/>
    <w:rsid w:val="7F1716D0"/>
    <w:rsid w:val="7F1B445E"/>
    <w:rsid w:val="7F264BB1"/>
    <w:rsid w:val="7F287009"/>
    <w:rsid w:val="7F29553D"/>
    <w:rsid w:val="7F2A644F"/>
    <w:rsid w:val="7F31444E"/>
    <w:rsid w:val="7F3C3AAA"/>
    <w:rsid w:val="7F447E8B"/>
    <w:rsid w:val="7F4505B7"/>
    <w:rsid w:val="7F4C3495"/>
    <w:rsid w:val="7F5B0CFF"/>
    <w:rsid w:val="7F5B38B2"/>
    <w:rsid w:val="7F5D2A76"/>
    <w:rsid w:val="7F673200"/>
    <w:rsid w:val="7F6776A3"/>
    <w:rsid w:val="7F6A2CF0"/>
    <w:rsid w:val="7F736048"/>
    <w:rsid w:val="7F7E636A"/>
    <w:rsid w:val="7F832AD4"/>
    <w:rsid w:val="7F855246"/>
    <w:rsid w:val="7F85675A"/>
    <w:rsid w:val="7F8D486E"/>
    <w:rsid w:val="7F8E344A"/>
    <w:rsid w:val="7F923FCB"/>
    <w:rsid w:val="7F925459"/>
    <w:rsid w:val="7F9B559F"/>
    <w:rsid w:val="7F9F0062"/>
    <w:rsid w:val="7F9F5B66"/>
    <w:rsid w:val="7FA077D1"/>
    <w:rsid w:val="7FA501CC"/>
    <w:rsid w:val="7FA96067"/>
    <w:rsid w:val="7FAE52D2"/>
    <w:rsid w:val="7FB019EE"/>
    <w:rsid w:val="7FBE0076"/>
    <w:rsid w:val="7FBE4DEA"/>
    <w:rsid w:val="7FC44AF6"/>
    <w:rsid w:val="7FC85875"/>
    <w:rsid w:val="7FD5583B"/>
    <w:rsid w:val="7FE639D0"/>
    <w:rsid w:val="7FE707E4"/>
    <w:rsid w:val="7FE75214"/>
    <w:rsid w:val="7FEF5540"/>
    <w:rsid w:val="7FF24168"/>
    <w:rsid w:val="7FFA22C6"/>
    <w:rsid w:val="F7FB243B"/>
    <w:rsid w:val="F8FF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54"/>
    <w:qFormat/>
    <w:uiPriority w:val="9"/>
    <w:pPr>
      <w:ind w:firstLine="640"/>
      <w:jc w:val="left"/>
      <w:outlineLvl w:val="0"/>
    </w:pPr>
    <w:rPr>
      <w:rFonts w:eastAsia="黑体"/>
      <w:kern w:val="44"/>
      <w:szCs w:val="32"/>
    </w:rPr>
  </w:style>
  <w:style w:type="paragraph" w:styleId="3">
    <w:name w:val="heading 2"/>
    <w:basedOn w:val="1"/>
    <w:next w:val="1"/>
    <w:link w:val="55"/>
    <w:unhideWhenUsed/>
    <w:qFormat/>
    <w:uiPriority w:val="9"/>
    <w:pPr>
      <w:outlineLvl w:val="1"/>
    </w:pPr>
    <w:rPr>
      <w:rFonts w:eastAsia="楷体_GB2312"/>
      <w:szCs w:val="32"/>
    </w:rPr>
  </w:style>
  <w:style w:type="paragraph" w:styleId="4">
    <w:name w:val="heading 3"/>
    <w:basedOn w:val="1"/>
    <w:next w:val="1"/>
    <w:link w:val="56"/>
    <w:semiHidden/>
    <w:unhideWhenUsed/>
    <w:qFormat/>
    <w:uiPriority w:val="9"/>
    <w:pPr>
      <w:ind w:firstLine="640"/>
      <w:outlineLvl w:val="2"/>
    </w:pPr>
    <w:rPr>
      <w:b/>
      <w:color w:val="000000" w:themeColor="text1"/>
      <w14:textFill>
        <w14:solidFill>
          <w14:schemeClr w14:val="tx1"/>
        </w14:solidFill>
      </w14:textFill>
    </w:rPr>
  </w:style>
  <w:style w:type="paragraph" w:styleId="5">
    <w:name w:val="heading 4"/>
    <w:basedOn w:val="1"/>
    <w:next w:val="1"/>
    <w:link w:val="57"/>
    <w:semiHidden/>
    <w:unhideWhenUsed/>
    <w:qFormat/>
    <w:uiPriority w:val="9"/>
    <w:pPr>
      <w:keepNext/>
      <w:keepLines/>
      <w:ind w:firstLine="640"/>
      <w:outlineLvl w:val="3"/>
    </w:pPr>
    <w:rPr>
      <w:rFonts w:eastAsia="仿宋" w:cstheme="minorBidi"/>
    </w:rPr>
  </w:style>
  <w:style w:type="paragraph" w:styleId="6">
    <w:name w:val="heading 5"/>
    <w:basedOn w:val="1"/>
    <w:next w:val="1"/>
    <w:semiHidden/>
    <w:unhideWhenUsed/>
    <w:qFormat/>
    <w:uiPriority w:val="9"/>
    <w:pPr>
      <w:keepNext/>
      <w:keepLines/>
      <w:overflowPunct/>
      <w:adjustRightInd/>
      <w:spacing w:before="280" w:after="290" w:line="372" w:lineRule="auto"/>
      <w:ind w:firstLine="440"/>
      <w:outlineLvl w:val="4"/>
    </w:pPr>
    <w:rPr>
      <w:rFonts w:ascii="宋体" w:hAnsi="宋体" w:eastAsia="宋体" w:cstheme="minorBidi"/>
      <w:b/>
      <w:kern w:val="0"/>
      <w:sz w:val="28"/>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semiHidden/>
    <w:unhideWhenUsed/>
    <w:qFormat/>
    <w:uiPriority w:val="99"/>
    <w:pPr>
      <w:overflowPunct/>
      <w:autoSpaceDE w:val="0"/>
      <w:autoSpaceDN w:val="0"/>
      <w:spacing w:line="500" w:lineRule="atLeast"/>
      <w:jc w:val="left"/>
    </w:pPr>
    <w:rPr>
      <w:rFonts w:ascii="宋体" w:hAnsi="宋体" w:eastAsia="宋体" w:cstheme="minorBidi"/>
      <w:kern w:val="0"/>
      <w:sz w:val="24"/>
      <w:szCs w:val="22"/>
    </w:rPr>
  </w:style>
  <w:style w:type="paragraph" w:styleId="8">
    <w:name w:val="caption"/>
    <w:basedOn w:val="1"/>
    <w:next w:val="1"/>
    <w:semiHidden/>
    <w:unhideWhenUsed/>
    <w:qFormat/>
    <w:uiPriority w:val="35"/>
    <w:pPr>
      <w:overflowPunct/>
      <w:adjustRightInd/>
      <w:spacing w:line="500" w:lineRule="atLeast"/>
      <w:ind w:firstLine="440"/>
    </w:pPr>
    <w:rPr>
      <w:rFonts w:ascii="Arial" w:hAnsi="Arial" w:eastAsia="黑体" w:cstheme="minorBidi"/>
      <w:kern w:val="0"/>
      <w:sz w:val="20"/>
      <w:szCs w:val="22"/>
    </w:rPr>
  </w:style>
  <w:style w:type="paragraph" w:styleId="9">
    <w:name w:val="annotation text"/>
    <w:basedOn w:val="1"/>
    <w:link w:val="74"/>
    <w:semiHidden/>
    <w:unhideWhenUsed/>
    <w:qFormat/>
    <w:uiPriority w:val="99"/>
    <w:pPr>
      <w:jc w:val="left"/>
    </w:pPr>
  </w:style>
  <w:style w:type="paragraph" w:styleId="10">
    <w:name w:val="Body Text"/>
    <w:basedOn w:val="1"/>
    <w:next w:val="11"/>
    <w:semiHidden/>
    <w:unhideWhenUsed/>
    <w:qFormat/>
    <w:uiPriority w:val="99"/>
    <w:pPr>
      <w:overflowPunct/>
      <w:adjustRightInd/>
      <w:spacing w:line="500" w:lineRule="atLeast"/>
      <w:ind w:firstLine="440"/>
    </w:pPr>
    <w:rPr>
      <w:rFonts w:ascii="仿宋" w:hAnsi="仿宋" w:eastAsia="仿宋" w:cs="仿宋"/>
      <w:kern w:val="0"/>
      <w:sz w:val="31"/>
      <w:szCs w:val="31"/>
      <w:lang w:eastAsia="en-US"/>
    </w:rPr>
  </w:style>
  <w:style w:type="paragraph" w:customStyle="1" w:styleId="11">
    <w:name w:val="Default"/>
    <w:next w:val="1"/>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styleId="12">
    <w:name w:val="Body Text Indent"/>
    <w:basedOn w:val="1"/>
    <w:next w:val="1"/>
    <w:semiHidden/>
    <w:unhideWhenUsed/>
    <w:qFormat/>
    <w:uiPriority w:val="99"/>
    <w:pPr>
      <w:spacing w:line="440" w:lineRule="exact"/>
      <w:ind w:firstLine="196" w:firstLineChars="196"/>
    </w:pPr>
    <w:rPr>
      <w:rFonts w:ascii="宋体" w:eastAsia="宋体" w:cs="Candara"/>
      <w:spacing w:val="2"/>
      <w:sz w:val="21"/>
    </w:rPr>
  </w:style>
  <w:style w:type="paragraph" w:styleId="13">
    <w:name w:val="Plain Text"/>
    <w:basedOn w:val="1"/>
    <w:link w:val="61"/>
    <w:semiHidden/>
    <w:unhideWhenUsed/>
    <w:qFormat/>
    <w:uiPriority w:val="99"/>
    <w:pPr>
      <w:overflowPunct/>
      <w:adjustRightInd/>
      <w:spacing w:line="500" w:lineRule="atLeast"/>
      <w:ind w:firstLine="440"/>
    </w:pPr>
    <w:rPr>
      <w:rFonts w:ascii="宋体" w:hAnsi="Courier New" w:eastAsia="宋体" w:cstheme="minorBidi"/>
      <w:kern w:val="0"/>
      <w:sz w:val="24"/>
      <w:szCs w:val="22"/>
    </w:rPr>
  </w:style>
  <w:style w:type="paragraph" w:styleId="14">
    <w:name w:val="Body Text Indent 2"/>
    <w:semiHidden/>
    <w:unhideWhenUsed/>
    <w:qFormat/>
    <w:uiPriority w:val="99"/>
    <w:pPr>
      <w:widowControl w:val="0"/>
      <w:spacing w:line="540" w:lineRule="exact"/>
      <w:ind w:firstLine="720" w:firstLineChars="225"/>
    </w:pPr>
    <w:rPr>
      <w:rFonts w:ascii="仿宋_GB2312" w:hAnsi="Times New Roman" w:eastAsia="仿宋_GB2312" w:cs="Times New Roman"/>
      <w:sz w:val="32"/>
      <w:lang w:val="en-US" w:eastAsia="zh-CN" w:bidi="ar-SA"/>
    </w:rPr>
  </w:style>
  <w:style w:type="paragraph" w:styleId="15">
    <w:name w:val="Balloon Text"/>
    <w:basedOn w:val="1"/>
    <w:link w:val="58"/>
    <w:semiHidden/>
    <w:unhideWhenUsed/>
    <w:qFormat/>
    <w:uiPriority w:val="99"/>
    <w:pPr>
      <w:spacing w:line="240" w:lineRule="auto"/>
    </w:pPr>
    <w:rPr>
      <w:sz w:val="18"/>
      <w:szCs w:val="18"/>
    </w:rPr>
  </w:style>
  <w:style w:type="paragraph" w:styleId="16">
    <w:name w:val="footer"/>
    <w:basedOn w:val="1"/>
    <w:link w:val="70"/>
    <w:unhideWhenUsed/>
    <w:qFormat/>
    <w:uiPriority w:val="99"/>
    <w:pPr>
      <w:tabs>
        <w:tab w:val="center" w:pos="4153"/>
        <w:tab w:val="right" w:pos="8306"/>
      </w:tabs>
      <w:spacing w:line="240" w:lineRule="auto"/>
      <w:ind w:firstLine="0" w:firstLineChars="0"/>
      <w:jc w:val="left"/>
    </w:pPr>
    <w:rPr>
      <w:rFonts w:eastAsia="宋体"/>
      <w:sz w:val="24"/>
    </w:rPr>
  </w:style>
  <w:style w:type="paragraph" w:styleId="17">
    <w:name w:val="header"/>
    <w:basedOn w:val="1"/>
    <w:link w:val="6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8">
    <w:name w:val="toc 1"/>
    <w:basedOn w:val="1"/>
    <w:next w:val="1"/>
    <w:semiHidden/>
    <w:unhideWhenUsed/>
    <w:qFormat/>
    <w:uiPriority w:val="39"/>
    <w:pPr>
      <w:overflowPunct/>
      <w:adjustRightInd/>
      <w:spacing w:line="500" w:lineRule="atLeast"/>
      <w:ind w:firstLine="440"/>
    </w:pPr>
    <w:rPr>
      <w:rFonts w:ascii="宋体" w:hAnsi="宋体" w:eastAsia="宋体" w:cstheme="minorBidi"/>
      <w:kern w:val="0"/>
      <w:sz w:val="24"/>
      <w:szCs w:val="22"/>
    </w:rPr>
  </w:style>
  <w:style w:type="paragraph" w:styleId="19">
    <w:name w:val="toc 2"/>
    <w:basedOn w:val="1"/>
    <w:next w:val="1"/>
    <w:semiHidden/>
    <w:unhideWhenUsed/>
    <w:qFormat/>
    <w:uiPriority w:val="39"/>
    <w:pPr>
      <w:overflowPunct/>
      <w:adjustRightInd/>
      <w:spacing w:line="500" w:lineRule="atLeast"/>
      <w:ind w:left="420" w:leftChars="200" w:firstLine="440"/>
    </w:pPr>
    <w:rPr>
      <w:rFonts w:ascii="宋体" w:hAnsi="宋体" w:eastAsia="宋体" w:cstheme="minorBidi"/>
      <w:kern w:val="0"/>
      <w:sz w:val="24"/>
      <w:szCs w:val="22"/>
    </w:rPr>
  </w:style>
  <w:style w:type="paragraph" w:styleId="20">
    <w:name w:val="Normal (Web)"/>
    <w:basedOn w:val="1"/>
    <w:semiHidden/>
    <w:unhideWhenUsed/>
    <w:qFormat/>
    <w:uiPriority w:val="99"/>
    <w:pPr>
      <w:overflowPunct/>
      <w:adjustRightInd/>
      <w:spacing w:beforeAutospacing="1" w:afterAutospacing="1" w:line="500" w:lineRule="atLeast"/>
      <w:ind w:firstLine="440"/>
      <w:jc w:val="left"/>
    </w:pPr>
    <w:rPr>
      <w:rFonts w:ascii="宋体" w:hAnsi="宋体" w:eastAsia="宋体"/>
      <w:kern w:val="0"/>
      <w:sz w:val="24"/>
      <w:szCs w:val="22"/>
    </w:rPr>
  </w:style>
  <w:style w:type="paragraph" w:styleId="21">
    <w:name w:val="annotation subject"/>
    <w:basedOn w:val="9"/>
    <w:next w:val="9"/>
    <w:link w:val="75"/>
    <w:semiHidden/>
    <w:unhideWhenUsed/>
    <w:qFormat/>
    <w:uiPriority w:val="99"/>
    <w:rPr>
      <w:b/>
      <w:bCs/>
    </w:rPr>
  </w:style>
  <w:style w:type="paragraph" w:styleId="22">
    <w:name w:val="Body Text First Indent 2"/>
    <w:basedOn w:val="12"/>
    <w:next w:val="1"/>
    <w:semiHidden/>
    <w:unhideWhenUsed/>
    <w:qFormat/>
    <w:uiPriority w:val="99"/>
    <w:pPr>
      <w:spacing w:after="120" w:line="240" w:lineRule="auto"/>
      <w:ind w:left="420" w:leftChars="200" w:firstLine="420" w:firstLineChars="200"/>
    </w:pPr>
    <w:rPr>
      <w:rFonts w:ascii="Times New Roman" w:cs="Times New Roman"/>
      <w:spacing w:val="0"/>
      <w:szCs w:val="20"/>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annotation reference"/>
    <w:basedOn w:val="25"/>
    <w:semiHidden/>
    <w:unhideWhenUsed/>
    <w:qFormat/>
    <w:uiPriority w:val="99"/>
    <w:rPr>
      <w:sz w:val="21"/>
      <w:szCs w:val="21"/>
    </w:rPr>
  </w:style>
  <w:style w:type="paragraph" w:customStyle="1" w:styleId="28">
    <w:name w:val="抬头"/>
    <w:basedOn w:val="1"/>
    <w:qFormat/>
    <w:uiPriority w:val="0"/>
    <w:pPr>
      <w:spacing w:before="100" w:beforeLines="100"/>
      <w:ind w:firstLine="0" w:firstLineChars="0"/>
      <w:jc w:val="left"/>
    </w:pPr>
    <w:rPr>
      <w:rFonts w:hint="eastAsia"/>
    </w:rPr>
  </w:style>
  <w:style w:type="paragraph" w:customStyle="1" w:styleId="29">
    <w:name w:val="文号"/>
    <w:basedOn w:val="1"/>
    <w:qFormat/>
    <w:uiPriority w:val="0"/>
    <w:pPr>
      <w:spacing w:before="50" w:beforeLines="50" w:after="100" w:afterLines="100" w:line="240" w:lineRule="auto"/>
      <w:ind w:firstLine="0" w:firstLineChars="0"/>
      <w:jc w:val="center"/>
    </w:pPr>
    <w:rPr>
      <w:rFonts w:eastAsia="仿宋" w:cstheme="minorBidi"/>
    </w:rPr>
  </w:style>
  <w:style w:type="paragraph" w:customStyle="1" w:styleId="30">
    <w:name w:val="讨论稿"/>
    <w:basedOn w:val="1"/>
    <w:next w:val="1"/>
    <w:qFormat/>
    <w:uiPriority w:val="0"/>
    <w:pPr>
      <w:spacing w:before="30" w:beforeLines="30" w:after="100" w:afterLines="100"/>
      <w:ind w:firstLine="0" w:firstLineChars="0"/>
      <w:jc w:val="center"/>
      <w:outlineLvl w:val="0"/>
    </w:pPr>
    <w:rPr>
      <w:rFonts w:eastAsia="楷体"/>
    </w:rPr>
  </w:style>
  <w:style w:type="paragraph" w:customStyle="1" w:styleId="31">
    <w:name w:val="附件2"/>
    <w:basedOn w:val="1"/>
    <w:qFormat/>
    <w:uiPriority w:val="0"/>
    <w:pPr>
      <w:ind w:left="1920" w:leftChars="500" w:hanging="320" w:hangingChars="100"/>
    </w:pPr>
    <w:rPr>
      <w:rFonts w:cstheme="minorBidi"/>
    </w:rPr>
  </w:style>
  <w:style w:type="paragraph" w:customStyle="1" w:styleId="32">
    <w:name w:val="附件1"/>
    <w:basedOn w:val="1"/>
    <w:qFormat/>
    <w:uiPriority w:val="0"/>
    <w:pPr>
      <w:ind w:left="1920" w:leftChars="200" w:hanging="1280" w:hangingChars="400"/>
    </w:pPr>
    <w:rPr>
      <w:rFonts w:hint="eastAsia" w:eastAsia="仿宋" w:cstheme="minorBidi"/>
    </w:rPr>
  </w:style>
  <w:style w:type="paragraph" w:customStyle="1" w:styleId="33">
    <w:name w:val="表内文字"/>
    <w:basedOn w:val="1"/>
    <w:qFormat/>
    <w:uiPriority w:val="0"/>
    <w:pPr>
      <w:widowControl/>
      <w:spacing w:line="240" w:lineRule="auto"/>
      <w:ind w:firstLine="0" w:firstLineChars="0"/>
      <w:jc w:val="center"/>
      <w:textAlignment w:val="center"/>
    </w:pPr>
    <w:rPr>
      <w:rFonts w:eastAsia="仿宋"/>
      <w:bCs/>
      <w:color w:val="000000"/>
      <w:kern w:val="0"/>
      <w:sz w:val="28"/>
      <w:szCs w:val="22"/>
    </w:rPr>
  </w:style>
  <w:style w:type="paragraph" w:customStyle="1" w:styleId="34">
    <w:name w:val="作者"/>
    <w:basedOn w:val="1"/>
    <w:qFormat/>
    <w:uiPriority w:val="0"/>
    <w:pPr>
      <w:spacing w:before="50" w:beforeLines="50" w:after="100" w:afterLines="100" w:line="240" w:lineRule="auto"/>
      <w:ind w:firstLine="0" w:firstLineChars="0"/>
      <w:jc w:val="center"/>
    </w:pPr>
    <w:rPr>
      <w:rFonts w:hint="eastAsia" w:eastAsia="楷体_GB2312"/>
    </w:rPr>
  </w:style>
  <w:style w:type="paragraph" w:customStyle="1" w:styleId="35">
    <w:name w:val="标题1居中"/>
    <w:basedOn w:val="3"/>
    <w:next w:val="1"/>
    <w:qFormat/>
    <w:uiPriority w:val="0"/>
    <w:pPr>
      <w:spacing w:before="120" w:beforeLines="120" w:after="80" w:afterLines="80" w:line="240" w:lineRule="auto"/>
      <w:ind w:firstLine="0" w:firstLineChars="0"/>
      <w:jc w:val="center"/>
    </w:pPr>
    <w:rPr>
      <w:rFonts w:hint="eastAsia"/>
      <w:color w:val="000000" w:themeColor="text1"/>
      <w14:textFill>
        <w14:solidFill>
          <w14:schemeClr w14:val="tx1"/>
        </w14:solidFill>
      </w14:textFill>
    </w:rPr>
  </w:style>
  <w:style w:type="paragraph" w:customStyle="1" w:styleId="36">
    <w:name w:val="附件抬头"/>
    <w:basedOn w:val="1"/>
    <w:link w:val="37"/>
    <w:qFormat/>
    <w:uiPriority w:val="0"/>
    <w:pPr>
      <w:spacing w:after="100" w:afterLines="100" w:line="240" w:lineRule="auto"/>
      <w:ind w:firstLine="0" w:firstLineChars="0"/>
      <w:jc w:val="left"/>
    </w:pPr>
    <w:rPr>
      <w:rFonts w:eastAsia="黑体" w:cstheme="minorBidi"/>
    </w:rPr>
  </w:style>
  <w:style w:type="character" w:customStyle="1" w:styleId="37">
    <w:name w:val="附件抬头 Char"/>
    <w:link w:val="36"/>
    <w:qFormat/>
    <w:uiPriority w:val="0"/>
    <w:rPr>
      <w:rFonts w:ascii="Times New Roman" w:hAnsi="Times New Roman" w:eastAsia="黑体" w:cstheme="minorBidi"/>
    </w:rPr>
  </w:style>
  <w:style w:type="paragraph" w:customStyle="1" w:styleId="38">
    <w:name w:val="一级标题（标题2）居中"/>
    <w:basedOn w:val="3"/>
    <w:next w:val="1"/>
    <w:qFormat/>
    <w:uiPriority w:val="0"/>
    <w:pPr>
      <w:spacing w:before="120" w:beforeLines="120" w:after="80" w:afterLines="80" w:line="240" w:lineRule="auto"/>
      <w:ind w:firstLine="0" w:firstLineChars="0"/>
      <w:jc w:val="center"/>
    </w:pPr>
    <w:rPr>
      <w:rFonts w:hint="eastAsia"/>
      <w:color w:val="000000" w:themeColor="text1"/>
      <w14:textFill>
        <w14:solidFill>
          <w14:schemeClr w14:val="tx1"/>
        </w14:solidFill>
      </w14:textFill>
    </w:rPr>
  </w:style>
  <w:style w:type="paragraph" w:customStyle="1" w:styleId="39">
    <w:name w:val="标题2 居中"/>
    <w:basedOn w:val="2"/>
    <w:next w:val="1"/>
    <w:qFormat/>
    <w:uiPriority w:val="0"/>
    <w:pPr>
      <w:spacing w:before="120" w:beforeLines="120" w:after="80" w:afterLines="80" w:line="240" w:lineRule="auto"/>
      <w:ind w:firstLine="0" w:firstLineChars="0"/>
      <w:jc w:val="center"/>
    </w:pPr>
    <w:rPr>
      <w:rFonts w:hint="eastAsia"/>
      <w:color w:val="000000" w:themeColor="text1"/>
      <w14:textFill>
        <w14:solidFill>
          <w14:schemeClr w14:val="tx1"/>
        </w14:solidFill>
      </w14:textFill>
    </w:rPr>
  </w:style>
  <w:style w:type="paragraph" w:customStyle="1" w:styleId="40">
    <w:name w:val="正文标题1 居中"/>
    <w:basedOn w:val="2"/>
    <w:next w:val="1"/>
    <w:qFormat/>
    <w:uiPriority w:val="0"/>
    <w:pPr>
      <w:spacing w:before="100" w:beforeLines="100" w:after="80" w:afterLines="80" w:line="240" w:lineRule="auto"/>
      <w:ind w:firstLine="0" w:firstLineChars="0"/>
      <w:jc w:val="center"/>
    </w:pPr>
    <w:rPr>
      <w:rFonts w:hint="eastAsia"/>
      <w:color w:val="000000" w:themeColor="text1"/>
      <w14:textFill>
        <w14:solidFill>
          <w14:schemeClr w14:val="tx1"/>
        </w14:solidFill>
      </w14:textFill>
    </w:rPr>
  </w:style>
  <w:style w:type="paragraph" w:customStyle="1" w:styleId="41">
    <w:name w:val="表头文字"/>
    <w:basedOn w:val="33"/>
    <w:qFormat/>
    <w:uiPriority w:val="0"/>
    <w:pPr>
      <w:widowControl w:val="0"/>
    </w:pPr>
    <w:rPr>
      <w:b/>
    </w:rPr>
  </w:style>
  <w:style w:type="paragraph" w:customStyle="1" w:styleId="42">
    <w:name w:val="落款"/>
    <w:basedOn w:val="1"/>
    <w:next w:val="1"/>
    <w:qFormat/>
    <w:uiPriority w:val="0"/>
    <w:pPr>
      <w:ind w:left="3840" w:leftChars="1200" w:firstLine="0" w:firstLineChars="0"/>
      <w:jc w:val="center"/>
    </w:pPr>
    <w:rPr>
      <w:rFonts w:hint="eastAsia" w:eastAsia="仿宋" w:cstheme="minorBidi"/>
    </w:rPr>
  </w:style>
  <w:style w:type="character" w:customStyle="1" w:styleId="43">
    <w:name w:val="标题 1 Char"/>
    <w:qFormat/>
    <w:uiPriority w:val="0"/>
    <w:rPr>
      <w:rFonts w:ascii="Times New Roman" w:hAnsi="Times New Roman" w:eastAsia="方正小标宋_GBK" w:cstheme="minorBidi"/>
      <w:kern w:val="44"/>
      <w:sz w:val="44"/>
    </w:rPr>
  </w:style>
  <w:style w:type="character" w:customStyle="1" w:styleId="44">
    <w:name w:val="标题 2 Char"/>
    <w:qFormat/>
    <w:uiPriority w:val="0"/>
    <w:rPr>
      <w:rFonts w:ascii="Times New Roman" w:hAnsi="Times New Roman" w:eastAsia="楷体"/>
      <w:szCs w:val="32"/>
    </w:rPr>
  </w:style>
  <w:style w:type="character" w:customStyle="1" w:styleId="45">
    <w:name w:val="标题 4 Char"/>
    <w:qFormat/>
    <w:uiPriority w:val="0"/>
    <w:rPr>
      <w:rFonts w:ascii="Times New Roman" w:hAnsi="Times New Roman" w:eastAsia="仿宋" w:cstheme="minorBidi"/>
      <w:b/>
    </w:rPr>
  </w:style>
  <w:style w:type="character" w:customStyle="1" w:styleId="46">
    <w:name w:val="标题 3 Char"/>
    <w:qFormat/>
    <w:uiPriority w:val="0"/>
    <w:rPr>
      <w:rFonts w:ascii="Times New Roman" w:hAnsi="Times New Roman" w:eastAsia="楷体_GB2312" w:cs="Times New Roman"/>
      <w:color w:val="000000" w:themeColor="text1"/>
      <w14:textFill>
        <w14:solidFill>
          <w14:schemeClr w14:val="tx1"/>
        </w14:solidFill>
      </w14:textFill>
    </w:rPr>
  </w:style>
  <w:style w:type="paragraph" w:customStyle="1" w:styleId="47">
    <w:name w:val="标题2居中"/>
    <w:basedOn w:val="3"/>
    <w:next w:val="1"/>
    <w:qFormat/>
    <w:uiPriority w:val="0"/>
    <w:pPr>
      <w:overflowPunct/>
      <w:adjustRightInd/>
      <w:spacing w:before="130" w:beforeLines="130" w:after="50" w:afterLines="50" w:line="240" w:lineRule="auto"/>
      <w:ind w:firstLine="0" w:firstLineChars="0"/>
      <w:jc w:val="center"/>
      <w:outlineLvl w:val="0"/>
    </w:pPr>
    <w:rPr>
      <w:rFonts w:eastAsia="黑体" w:cstheme="minorBidi"/>
      <w:color w:val="000000" w:themeColor="text1"/>
      <w:kern w:val="0"/>
      <w:szCs w:val="22"/>
      <w14:textFill>
        <w14:solidFill>
          <w14:schemeClr w14:val="tx1"/>
        </w14:solidFill>
      </w14:textFill>
    </w:rPr>
  </w:style>
  <w:style w:type="paragraph" w:customStyle="1" w:styleId="48">
    <w:name w:val="主标题"/>
    <w:next w:val="1"/>
    <w:qFormat/>
    <w:uiPriority w:val="0"/>
    <w:pPr>
      <w:adjustRightInd w:val="0"/>
      <w:snapToGrid w:val="0"/>
      <w:jc w:val="center"/>
    </w:pPr>
    <w:rPr>
      <w:rFonts w:ascii="Times New Roman" w:hAnsi="Times New Roman" w:eastAsia="方正小标宋_GBK" w:cstheme="minorBidi"/>
      <w:sz w:val="44"/>
      <w:lang w:val="en-US" w:eastAsia="zh-CN" w:bidi="ar-SA"/>
    </w:rPr>
  </w:style>
  <w:style w:type="paragraph" w:customStyle="1" w:styleId="49">
    <w:name w:val="样式1居中"/>
    <w:basedOn w:val="2"/>
    <w:next w:val="1"/>
    <w:qFormat/>
    <w:uiPriority w:val="0"/>
    <w:pPr>
      <w:spacing w:before="100" w:beforeLines="100" w:after="80" w:afterLines="80" w:line="240" w:lineRule="auto"/>
      <w:ind w:firstLine="0"/>
      <w:jc w:val="center"/>
    </w:pPr>
    <w:rPr>
      <w:rFonts w:hint="eastAsia"/>
    </w:rPr>
  </w:style>
  <w:style w:type="paragraph" w:customStyle="1" w:styleId="50">
    <w:name w:val="法律修正注"/>
    <w:basedOn w:val="1"/>
    <w:qFormat/>
    <w:uiPriority w:val="0"/>
    <w:pPr>
      <w:spacing w:before="100" w:beforeLines="100" w:after="100" w:afterLines="100" w:line="300" w:lineRule="atLeast"/>
      <w:ind w:firstLine="0" w:firstLineChars="0"/>
      <w:jc w:val="center"/>
    </w:pPr>
    <w:rPr>
      <w:rFonts w:eastAsia="楷体_GB2312"/>
      <w:sz w:val="21"/>
    </w:rPr>
  </w:style>
  <w:style w:type="paragraph" w:customStyle="1" w:styleId="51">
    <w:name w:val="标题一 居中"/>
    <w:basedOn w:val="1"/>
    <w:qFormat/>
    <w:uiPriority w:val="0"/>
    <w:pPr>
      <w:spacing w:before="100" w:beforeLines="100" w:after="80" w:afterLines="80" w:line="240" w:lineRule="auto"/>
      <w:ind w:firstLine="0" w:firstLineChars="0"/>
      <w:jc w:val="center"/>
    </w:pPr>
    <w:rPr>
      <w:rFonts w:hint="eastAsia"/>
    </w:rPr>
  </w:style>
  <w:style w:type="paragraph" w:customStyle="1" w:styleId="52">
    <w:name w:val="标题一居中"/>
    <w:basedOn w:val="1"/>
    <w:link w:val="59"/>
    <w:qFormat/>
    <w:uiPriority w:val="0"/>
    <w:pPr>
      <w:spacing w:before="120" w:beforeLines="120" w:after="80" w:afterLines="80" w:line="240" w:lineRule="auto"/>
      <w:ind w:firstLine="0" w:firstLineChars="0"/>
      <w:jc w:val="center"/>
    </w:pPr>
    <w:rPr>
      <w:rFonts w:hint="eastAsia" w:eastAsia="黑体"/>
    </w:rPr>
  </w:style>
  <w:style w:type="paragraph" w:customStyle="1" w:styleId="53">
    <w:name w:val="第一部分"/>
    <w:basedOn w:val="1"/>
    <w:qFormat/>
    <w:uiPriority w:val="0"/>
    <w:pPr>
      <w:spacing w:before="150" w:beforeLines="150" w:after="100" w:afterLines="100" w:line="240" w:lineRule="auto"/>
      <w:ind w:firstLine="0"/>
      <w:jc w:val="center"/>
    </w:pPr>
    <w:rPr>
      <w:rFonts w:hint="eastAsia" w:eastAsia="黑体"/>
    </w:rPr>
  </w:style>
  <w:style w:type="character" w:customStyle="1" w:styleId="54">
    <w:name w:val="标题 1 字符"/>
    <w:link w:val="2"/>
    <w:qFormat/>
    <w:uiPriority w:val="0"/>
    <w:rPr>
      <w:rFonts w:ascii="Times New Roman" w:hAnsi="Times New Roman" w:eastAsia="黑体"/>
      <w:kern w:val="44"/>
      <w:szCs w:val="32"/>
    </w:rPr>
  </w:style>
  <w:style w:type="character" w:customStyle="1" w:styleId="55">
    <w:name w:val="标题 2 字符"/>
    <w:basedOn w:val="25"/>
    <w:link w:val="3"/>
    <w:qFormat/>
    <w:uiPriority w:val="0"/>
    <w:rPr>
      <w:rFonts w:ascii="Times New Roman" w:hAnsi="Times New Roman" w:eastAsia="楷体_GB2312"/>
      <w:szCs w:val="32"/>
    </w:rPr>
  </w:style>
  <w:style w:type="character" w:customStyle="1" w:styleId="56">
    <w:name w:val="标题 3 字符"/>
    <w:link w:val="4"/>
    <w:qFormat/>
    <w:uiPriority w:val="0"/>
    <w:rPr>
      <w:rFonts w:ascii="Times New Roman" w:hAnsi="Times New Roman" w:eastAsia="仿宋_GB2312" w:cs="Times New Roman"/>
      <w:b/>
      <w:color w:val="000000" w:themeColor="text1"/>
      <w14:textFill>
        <w14:solidFill>
          <w14:schemeClr w14:val="tx1"/>
        </w14:solidFill>
      </w14:textFill>
    </w:rPr>
  </w:style>
  <w:style w:type="character" w:customStyle="1" w:styleId="57">
    <w:name w:val="标题 4 字符"/>
    <w:link w:val="5"/>
    <w:qFormat/>
    <w:uiPriority w:val="0"/>
    <w:rPr>
      <w:rFonts w:ascii="Times New Roman" w:hAnsi="Times New Roman" w:eastAsia="仿宋" w:cstheme="minorBidi"/>
    </w:rPr>
  </w:style>
  <w:style w:type="character" w:customStyle="1" w:styleId="58">
    <w:name w:val="批注框文本 字符"/>
    <w:basedOn w:val="25"/>
    <w:link w:val="15"/>
    <w:qFormat/>
    <w:uiPriority w:val="0"/>
    <w:rPr>
      <w:rFonts w:ascii="Times New Roman" w:hAnsi="Times New Roman" w:eastAsia="仿宋_GB2312" w:cs="Times New Roman"/>
      <w:kern w:val="2"/>
      <w:sz w:val="18"/>
      <w:szCs w:val="18"/>
    </w:rPr>
  </w:style>
  <w:style w:type="character" w:customStyle="1" w:styleId="59">
    <w:name w:val="标题一居中 Char"/>
    <w:link w:val="52"/>
    <w:qFormat/>
    <w:uiPriority w:val="0"/>
    <w:rPr>
      <w:rFonts w:hint="eastAsia" w:eastAsia="黑体"/>
    </w:rPr>
  </w:style>
  <w:style w:type="character" w:customStyle="1" w:styleId="60">
    <w:name w:val="样式 纯文本 + (符号) 宋体 Char"/>
    <w:basedOn w:val="61"/>
    <w:link w:val="62"/>
    <w:qFormat/>
    <w:uiPriority w:val="0"/>
    <w:rPr>
      <w:rFonts w:ascii="宋体" w:hAnsi="Courier New" w:eastAsia="宋体" w:cstheme="minorBidi"/>
      <w:szCs w:val="22"/>
    </w:rPr>
  </w:style>
  <w:style w:type="character" w:customStyle="1" w:styleId="61">
    <w:name w:val="纯文本 字符"/>
    <w:link w:val="13"/>
    <w:qFormat/>
    <w:uiPriority w:val="0"/>
    <w:rPr>
      <w:rFonts w:ascii="宋体" w:hAnsi="Courier New" w:eastAsia="宋体" w:cstheme="minorBidi"/>
      <w:szCs w:val="22"/>
    </w:rPr>
  </w:style>
  <w:style w:type="paragraph" w:customStyle="1" w:styleId="62">
    <w:name w:val="样式 纯文本 + (符号) 宋体"/>
    <w:basedOn w:val="13"/>
    <w:link w:val="60"/>
    <w:qFormat/>
    <w:uiPriority w:val="0"/>
    <w:pPr>
      <w:jc w:val="center"/>
    </w:pPr>
  </w:style>
  <w:style w:type="paragraph" w:customStyle="1" w:styleId="63">
    <w:name w:val="成文日期"/>
    <w:basedOn w:val="1"/>
    <w:qFormat/>
    <w:uiPriority w:val="0"/>
    <w:pPr>
      <w:overflowPunct/>
      <w:adjustRightInd/>
      <w:spacing w:line="570" w:lineRule="exact"/>
      <w:ind w:right="400" w:rightChars="400" w:firstLine="200"/>
      <w:jc w:val="right"/>
    </w:pPr>
    <w:rPr>
      <w:rFonts w:ascii="仿宋_GB2312" w:hAnsi="宋体" w:cstheme="minorBidi"/>
      <w:kern w:val="0"/>
      <w:szCs w:val="20"/>
    </w:rPr>
  </w:style>
  <w:style w:type="paragraph" w:customStyle="1" w:styleId="64">
    <w:name w:val="Table Paragraph"/>
    <w:qFormat/>
    <w:uiPriority w:val="1"/>
    <w:pPr>
      <w:widowControl w:val="0"/>
      <w:spacing w:after="160" w:line="259" w:lineRule="auto"/>
      <w:jc w:val="both"/>
    </w:pPr>
    <w:rPr>
      <w:rFonts w:ascii="宋体" w:hAnsi="宋体" w:eastAsia="宋体" w:cs="宋体"/>
      <w:sz w:val="22"/>
      <w:szCs w:val="24"/>
      <w:lang w:val="zh-CN" w:eastAsia="zh-CN" w:bidi="zh-CN"/>
    </w:rPr>
  </w:style>
  <w:style w:type="table" w:customStyle="1" w:styleId="65">
    <w:name w:val="Table Normal"/>
    <w:semiHidden/>
    <w:unhideWhenUsed/>
    <w:qFormat/>
    <w:uiPriority w:val="0"/>
    <w:tblPr>
      <w:tblCellMar>
        <w:top w:w="0" w:type="dxa"/>
        <w:left w:w="0" w:type="dxa"/>
        <w:bottom w:w="0" w:type="dxa"/>
        <w:right w:w="0" w:type="dxa"/>
      </w:tblCellMar>
    </w:tblPr>
  </w:style>
  <w:style w:type="paragraph" w:customStyle="1" w:styleId="66">
    <w:name w:val="Table Text"/>
    <w:basedOn w:val="1"/>
    <w:semiHidden/>
    <w:qFormat/>
    <w:uiPriority w:val="0"/>
    <w:pPr>
      <w:overflowPunct/>
      <w:adjustRightInd/>
      <w:spacing w:line="500" w:lineRule="atLeast"/>
      <w:ind w:firstLine="440"/>
    </w:pPr>
    <w:rPr>
      <w:rFonts w:ascii="Arial" w:hAnsi="Arial" w:eastAsia="Arial" w:cs="Arial"/>
      <w:kern w:val="0"/>
      <w:sz w:val="21"/>
      <w:szCs w:val="21"/>
      <w:lang w:eastAsia="en-US"/>
    </w:rPr>
  </w:style>
  <w:style w:type="paragraph" w:customStyle="1" w:styleId="67">
    <w:name w:val="核心内容模板文字"/>
    <w:basedOn w:val="1"/>
    <w:link w:val="68"/>
    <w:qFormat/>
    <w:uiPriority w:val="0"/>
    <w:pPr>
      <w:overflowPunct/>
      <w:spacing w:line="500" w:lineRule="atLeast"/>
      <w:ind w:left="120" w:leftChars="50" w:right="120" w:rightChars="50" w:firstLine="369" w:firstLineChars="0"/>
    </w:pPr>
    <w:rPr>
      <w:rFonts w:eastAsia="黑体"/>
      <w:color w:val="000000" w:themeColor="text1"/>
      <w:kern w:val="0"/>
      <w:sz w:val="24"/>
      <w:szCs w:val="22"/>
      <w:u w:val="wavyHeavy" w:color="000000" w:themeColor="text1"/>
      <w14:textFill>
        <w14:solidFill>
          <w14:schemeClr w14:val="tx1"/>
        </w14:solidFill>
      </w14:textFill>
    </w:rPr>
  </w:style>
  <w:style w:type="character" w:customStyle="1" w:styleId="68">
    <w:name w:val="核心内容模板文字 Char"/>
    <w:link w:val="67"/>
    <w:qFormat/>
    <w:uiPriority w:val="0"/>
    <w:rPr>
      <w:rFonts w:ascii="Times New Roman" w:hAnsi="Times New Roman" w:eastAsia="黑体" w:cs="Times New Roman"/>
      <w:color w:val="000000" w:themeColor="text1"/>
      <w:u w:val="wavyHeavy" w:color="000000" w:themeColor="text1"/>
      <w14:textFill>
        <w14:solidFill>
          <w14:schemeClr w14:val="tx1"/>
        </w14:solidFill>
      </w14:textFill>
    </w:rPr>
  </w:style>
  <w:style w:type="character" w:customStyle="1" w:styleId="69">
    <w:name w:val="页眉 字符"/>
    <w:basedOn w:val="25"/>
    <w:link w:val="17"/>
    <w:qFormat/>
    <w:uiPriority w:val="99"/>
    <w:rPr>
      <w:rFonts w:ascii="Times New Roman" w:hAnsi="Times New Roman" w:eastAsia="宋体" w:cs="Times New Roman"/>
      <w:sz w:val="18"/>
    </w:rPr>
  </w:style>
  <w:style w:type="character" w:customStyle="1" w:styleId="70">
    <w:name w:val="页脚 字符"/>
    <w:basedOn w:val="25"/>
    <w:link w:val="16"/>
    <w:qFormat/>
    <w:uiPriority w:val="99"/>
    <w:rPr>
      <w:rFonts w:ascii="Times New Roman" w:hAnsi="Times New Roman" w:eastAsia="宋体" w:cs="Times New Roman"/>
      <w:sz w:val="24"/>
    </w:rPr>
  </w:style>
  <w:style w:type="paragraph" w:customStyle="1" w:styleId="71">
    <w:name w:val="修订1"/>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72">
    <w:name w:val="font51"/>
    <w:basedOn w:val="25"/>
    <w:qFormat/>
    <w:uiPriority w:val="0"/>
    <w:rPr>
      <w:rFonts w:hint="default" w:ascii="Times New Roman" w:hAnsi="Times New Roman" w:cs="Times New Roman"/>
      <w:color w:val="000000"/>
      <w:sz w:val="21"/>
      <w:szCs w:val="21"/>
      <w:u w:val="none"/>
    </w:rPr>
  </w:style>
  <w:style w:type="paragraph" w:customStyle="1" w:styleId="73">
    <w:name w:val="修订2"/>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74">
    <w:name w:val="批注文字 字符"/>
    <w:basedOn w:val="25"/>
    <w:link w:val="9"/>
    <w:semiHidden/>
    <w:qFormat/>
    <w:uiPriority w:val="99"/>
    <w:rPr>
      <w:rFonts w:eastAsia="仿宋_GB2312"/>
      <w:kern w:val="2"/>
      <w:sz w:val="32"/>
      <w:szCs w:val="24"/>
    </w:rPr>
  </w:style>
  <w:style w:type="character" w:customStyle="1" w:styleId="75">
    <w:name w:val="批注主题 字符"/>
    <w:basedOn w:val="74"/>
    <w:link w:val="21"/>
    <w:semiHidden/>
    <w:qFormat/>
    <w:uiPriority w:val="99"/>
    <w:rPr>
      <w:rFonts w:eastAsia="仿宋_GB2312"/>
      <w:b/>
      <w:bCs/>
      <w:kern w:val="2"/>
      <w:sz w:val="32"/>
      <w:szCs w:val="24"/>
    </w:rPr>
  </w:style>
  <w:style w:type="paragraph" w:styleId="76">
    <w:name w:val="List Paragraph"/>
    <w:qFormat/>
    <w:uiPriority w:val="99"/>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198</Pages>
  <Words>17900</Words>
  <Characters>18147</Characters>
  <Lines>636</Lines>
  <Paragraphs>179</Paragraphs>
  <TotalTime>25</TotalTime>
  <ScaleCrop>false</ScaleCrop>
  <LinksUpToDate>false</LinksUpToDate>
  <CharactersWithSpaces>18240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2024-07-24T22:16:00Z</dcterms:created>
  <dc:creator>Windows 用户</dc:creator>
  <cp:lastModifiedBy>szfxm</cp:lastModifiedBy>
  <cp:lastPrinted>2024-07-24T08:50:00Z</cp:lastPrinted>
  <dcterms:modified xsi:type="dcterms:W3CDTF">2026-05-19T09:08:08Z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4CF790C4DC164552B8EF918796ACE5BE_13</vt:lpwstr>
  </property>
  <property fmtid="{D5CDD505-2E9C-101B-9397-08002B2CF9AE}" pid="4" name="KSOTemplateDocerSaveRecord">
    <vt:lpwstr>eyJoZGlkIjoiMDVjNGM5MTlhNDQ0YjhmNjQ5ZjhkODg5MGM5NTA2OTAiLCJ1c2VySWQiOiIxNjkzNDAxNzc1In0=</vt:lpwstr>
  </property>
</Properties>
</file>